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5342" w14:textId="77777777" w:rsidR="00BC2A74" w:rsidRPr="00BC2A74" w:rsidRDefault="00BC2A74" w:rsidP="00BC2A74">
      <w:pPr>
        <w:rPr>
          <w:sz w:val="20"/>
        </w:rPr>
      </w:pPr>
    </w:p>
    <w:p w14:paraId="30103FA5" w14:textId="0C3FA329" w:rsidR="00126D0B" w:rsidRPr="0054464B" w:rsidRDefault="00126D0B" w:rsidP="0054464B">
      <w:pPr>
        <w:pStyle w:val="MAIN-TITLE"/>
      </w:pPr>
      <w:r w:rsidRPr="0054464B">
        <w:t>IEC System for certification to standards relating to equipment for use in Explosive Atmospheres (IECEx System)</w:t>
      </w:r>
    </w:p>
    <w:p w14:paraId="752DDF76" w14:textId="77777777" w:rsidR="0054464B" w:rsidRPr="0054464B" w:rsidRDefault="0054464B" w:rsidP="0054464B">
      <w:pPr>
        <w:pStyle w:val="MAIN-TITLE"/>
        <w:rPr>
          <w:sz w:val="16"/>
          <w:szCs w:val="16"/>
        </w:rPr>
      </w:pPr>
    </w:p>
    <w:p w14:paraId="7A66701C" w14:textId="548E496A" w:rsidR="002378AA" w:rsidRDefault="00383DDF" w:rsidP="0054464B">
      <w:pPr>
        <w:pStyle w:val="MAIN-TITLE"/>
        <w:rPr>
          <w:sz w:val="22"/>
          <w:szCs w:val="22"/>
        </w:rPr>
      </w:pPr>
      <w:r w:rsidRPr="0054464B">
        <w:rPr>
          <w:sz w:val="22"/>
          <w:szCs w:val="22"/>
        </w:rPr>
        <w:t>C</w:t>
      </w:r>
      <w:r w:rsidR="00126D0B" w:rsidRPr="0054464B">
        <w:rPr>
          <w:rFonts w:hint="eastAsia"/>
          <w:sz w:val="22"/>
          <w:szCs w:val="22"/>
        </w:rPr>
        <w:t>ollection</w:t>
      </w:r>
      <w:r w:rsidR="00126D0B" w:rsidRPr="0054464B">
        <w:rPr>
          <w:sz w:val="22"/>
          <w:szCs w:val="22"/>
        </w:rPr>
        <w:t xml:space="preserve"> </w:t>
      </w:r>
      <w:r w:rsidR="00126D0B" w:rsidRPr="0054464B">
        <w:rPr>
          <w:rFonts w:hint="eastAsia"/>
          <w:sz w:val="22"/>
          <w:szCs w:val="22"/>
        </w:rPr>
        <w:t>of</w:t>
      </w:r>
      <w:r w:rsidR="00126D0B" w:rsidRPr="0054464B">
        <w:rPr>
          <w:sz w:val="22"/>
          <w:szCs w:val="22"/>
        </w:rPr>
        <w:t xml:space="preserve"> </w:t>
      </w:r>
      <w:r w:rsidR="00163A39" w:rsidRPr="0054464B">
        <w:rPr>
          <w:sz w:val="22"/>
          <w:szCs w:val="22"/>
        </w:rPr>
        <w:t>IECEx / ExTAG D</w:t>
      </w:r>
      <w:r w:rsidR="00126D0B" w:rsidRPr="0054464B">
        <w:rPr>
          <w:rFonts w:hint="eastAsia"/>
          <w:sz w:val="22"/>
          <w:szCs w:val="22"/>
        </w:rPr>
        <w:t>ecision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482"/>
        <w:gridCol w:w="2821"/>
      </w:tblGrid>
      <w:tr w:rsidR="00EB1711" w14:paraId="54EAAAF1" w14:textId="77777777" w:rsidTr="0054464B">
        <w:trPr>
          <w:trHeight w:val="60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A7B6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Standard:</w:t>
            </w:r>
          </w:p>
          <w:p w14:paraId="684CCB54" w14:textId="57B6D74B" w:rsidR="00EB1711" w:rsidRDefault="000735B2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60079-0, Ed. 7.0</w:t>
            </w:r>
          </w:p>
          <w:p w14:paraId="4AD9D3D9" w14:textId="7824745C" w:rsidR="00E4615F" w:rsidRDefault="00E4615F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</w:t>
            </w:r>
            <w:r w:rsidR="00A96ED4">
              <w:rPr>
                <w:rFonts w:eastAsia="DengXian"/>
                <w:b w:val="0"/>
                <w:sz w:val="20"/>
                <w:lang w:val="it-IT" w:eastAsia="zh-CN"/>
              </w:rPr>
              <w:t>0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>, Ed. 6.0</w:t>
            </w:r>
          </w:p>
          <w:p w14:paraId="1FDF1434" w14:textId="6783AF58" w:rsidR="004967A6" w:rsidRDefault="004967A6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60079-31, Ed. 3.0</w:t>
            </w:r>
          </w:p>
          <w:p w14:paraId="65214A07" w14:textId="2833589B" w:rsidR="00EB1711" w:rsidRPr="0000701A" w:rsidRDefault="00E4615F" w:rsidP="0054464B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60079-31, Ed. 2.0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D9B1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sz w:val="20"/>
                <w:lang w:val="it-IT"/>
              </w:rPr>
              <w:t>Clause</w:t>
            </w:r>
            <w:r>
              <w:rPr>
                <w:b w:val="0"/>
                <w:bCs w:val="0"/>
                <w:sz w:val="20"/>
              </w:rPr>
              <w:t xml:space="preserve">:  </w:t>
            </w:r>
          </w:p>
          <w:p w14:paraId="1A14DFD9" w14:textId="77777777" w:rsidR="00163A39" w:rsidRDefault="00391E22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26.5.1.3</w:t>
            </w:r>
          </w:p>
          <w:p w14:paraId="70EB8C4D" w14:textId="77777777" w:rsidR="00391E22" w:rsidRDefault="00391E22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26.5.1.1</w:t>
            </w:r>
          </w:p>
          <w:p w14:paraId="4D1160B0" w14:textId="77777777" w:rsidR="00542AAE" w:rsidRDefault="00542AAE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6.1.2</w:t>
            </w:r>
          </w:p>
          <w:p w14:paraId="32A92B66" w14:textId="5AE3523D" w:rsidR="00B740EA" w:rsidRDefault="00C54EDD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6.1.2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C891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</w:rPr>
            </w:pPr>
            <w:r w:rsidRPr="00EB1711">
              <w:rPr>
                <w:sz w:val="20"/>
                <w:lang w:val="it-IT"/>
              </w:rPr>
              <w:t>D</w:t>
            </w:r>
            <w:r w:rsidR="00EB1711" w:rsidRPr="00EB1711">
              <w:rPr>
                <w:sz w:val="20"/>
                <w:lang w:val="it-IT"/>
              </w:rPr>
              <w:t>ate</w:t>
            </w:r>
            <w:r>
              <w:rPr>
                <w:b w:val="0"/>
                <w:sz w:val="20"/>
              </w:rPr>
              <w:t>:</w:t>
            </w:r>
          </w:p>
          <w:p w14:paraId="6305145A" w14:textId="1A4C4CB2" w:rsidR="00163A39" w:rsidRPr="00C54EDD" w:rsidRDefault="00C54EDD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 w:rsidRPr="00C54EDD">
              <w:rPr>
                <w:b w:val="0"/>
                <w:bCs w:val="0"/>
                <w:sz w:val="20"/>
              </w:rPr>
              <w:t>202</w:t>
            </w:r>
            <w:r w:rsidR="00424D0D">
              <w:rPr>
                <w:b w:val="0"/>
                <w:bCs w:val="0"/>
                <w:sz w:val="20"/>
              </w:rPr>
              <w:t>4-0</w:t>
            </w:r>
            <w:r w:rsidR="001B521B">
              <w:rPr>
                <w:b w:val="0"/>
                <w:bCs w:val="0"/>
                <w:sz w:val="20"/>
              </w:rPr>
              <w:t>7</w:t>
            </w:r>
            <w:r w:rsidR="00424D0D">
              <w:rPr>
                <w:b w:val="0"/>
                <w:bCs w:val="0"/>
                <w:sz w:val="20"/>
              </w:rPr>
              <w:t>-</w:t>
            </w:r>
            <w:r w:rsidR="00A23FBD">
              <w:rPr>
                <w:b w:val="0"/>
                <w:bCs w:val="0"/>
                <w:sz w:val="20"/>
              </w:rPr>
              <w:t>31</w:t>
            </w:r>
          </w:p>
        </w:tc>
      </w:tr>
      <w:tr w:rsidR="00EB1711" w14:paraId="22CAEFAD" w14:textId="77777777" w:rsidTr="0054464B">
        <w:trPr>
          <w:trHeight w:val="10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CCF1E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  <w:lang w:eastAsia="zh-CN"/>
              </w:rPr>
            </w:pPr>
            <w:r w:rsidRPr="00A96ED4">
              <w:rPr>
                <w:sz w:val="20"/>
                <w:lang w:val="en-US"/>
              </w:rPr>
              <w:t>Subject</w:t>
            </w:r>
            <w:r>
              <w:rPr>
                <w:b w:val="0"/>
                <w:bCs w:val="0"/>
                <w:sz w:val="20"/>
                <w:lang w:eastAsia="zh-CN"/>
              </w:rPr>
              <w:t>:</w:t>
            </w:r>
          </w:p>
          <w:p w14:paraId="05929D80" w14:textId="47262A09" w:rsidR="00EB1711" w:rsidRPr="00520D38" w:rsidRDefault="00C54EDD" w:rsidP="006950E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/>
                <w:sz w:val="20"/>
                <w:szCs w:val="20"/>
                <w:lang w:eastAsia="zh-CN"/>
              </w:rPr>
            </w:pPr>
            <w:bookmarkStart w:id="0" w:name="_Hlk155703773"/>
            <w:r w:rsidRPr="00520D38">
              <w:rPr>
                <w:rFonts w:ascii="Arial" w:eastAsia="DengXian" w:hAnsi="Arial"/>
                <w:sz w:val="20"/>
                <w:szCs w:val="20"/>
                <w:lang w:eastAsia="zh-CN"/>
              </w:rPr>
              <w:t>Thermal conductivity of dust</w:t>
            </w:r>
            <w:bookmarkEnd w:id="0"/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0E4AE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Key </w:t>
            </w:r>
            <w:r w:rsidRPr="00EB1711">
              <w:rPr>
                <w:sz w:val="20"/>
                <w:lang w:val="it-IT"/>
              </w:rPr>
              <w:t>words</w:t>
            </w:r>
            <w:r>
              <w:rPr>
                <w:b w:val="0"/>
                <w:bCs w:val="0"/>
                <w:sz w:val="20"/>
              </w:rPr>
              <w:t>:</w:t>
            </w:r>
          </w:p>
          <w:p w14:paraId="1DC58EFD" w14:textId="77777777" w:rsidR="00EB1711" w:rsidRDefault="006E503C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sz w:val="20"/>
              </w:rPr>
            </w:pPr>
            <w:r w:rsidRPr="006E503C">
              <w:rPr>
                <w:b w:val="0"/>
                <w:sz w:val="20"/>
              </w:rPr>
              <w:t>Conductivity</w:t>
            </w:r>
          </w:p>
          <w:p w14:paraId="7141D55A" w14:textId="71685235" w:rsidR="00A83F5C" w:rsidRPr="006E503C" w:rsidRDefault="00A83F5C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Dust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E5A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sz w:val="20"/>
              </w:rPr>
            </w:pPr>
            <w:r w:rsidRPr="00C77AC5">
              <w:rPr>
                <w:sz w:val="20"/>
                <w:lang w:val="en-US"/>
              </w:rPr>
              <w:t xml:space="preserve">Originator of proposal: </w:t>
            </w:r>
          </w:p>
          <w:p w14:paraId="5438D186" w14:textId="7698DA92" w:rsidR="00EB1711" w:rsidRPr="00C77AC5" w:rsidRDefault="00C77AC5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bookmarkStart w:id="1" w:name="_Hlk155703842"/>
            <w:r w:rsidRPr="00C77AC5">
              <w:rPr>
                <w:b w:val="0"/>
                <w:bCs w:val="0"/>
                <w:sz w:val="20"/>
              </w:rPr>
              <w:t>UL Solutions</w:t>
            </w:r>
            <w:bookmarkEnd w:id="1"/>
          </w:p>
        </w:tc>
      </w:tr>
      <w:tr w:rsidR="00EB1711" w14:paraId="40E571C8" w14:textId="77777777" w:rsidTr="0054464B">
        <w:trPr>
          <w:trHeight w:val="653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40490" w14:textId="77777777" w:rsidR="00EB1711" w:rsidRDefault="00EB1711" w:rsidP="00A23FB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Status </w:t>
            </w:r>
            <w:r w:rsidRPr="00EB1711">
              <w:rPr>
                <w:sz w:val="20"/>
                <w:lang w:val="it-IT"/>
              </w:rPr>
              <w:t>of</w:t>
            </w:r>
            <w:r w:rsidRPr="00EB1711">
              <w:rPr>
                <w:bCs w:val="0"/>
                <w:sz w:val="20"/>
              </w:rPr>
              <w:t xml:space="preserve"> document: </w:t>
            </w:r>
          </w:p>
          <w:p w14:paraId="2C645DE4" w14:textId="1715D584" w:rsidR="00A23FBD" w:rsidRPr="00212B4A" w:rsidRDefault="00A23FBD" w:rsidP="00A23FBD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Approved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3BF" w14:textId="77777777" w:rsidR="00EB1711" w:rsidRDefault="00EB1711" w:rsidP="00EB1711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beforeLines="15" w:before="36" w:afterLines="15" w:after="36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78A" w14:textId="77777777" w:rsidR="00EB1711" w:rsidRDefault="00EB1711" w:rsidP="00BB2373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BB2373">
              <w:rPr>
                <w:sz w:val="20"/>
                <w:lang w:val="it-IT"/>
              </w:rPr>
              <w:t>TC/SC involved</w:t>
            </w:r>
            <w:r>
              <w:rPr>
                <w:b w:val="0"/>
                <w:bCs w:val="0"/>
                <w:sz w:val="20"/>
              </w:rPr>
              <w:t xml:space="preserve">: </w:t>
            </w:r>
          </w:p>
          <w:p w14:paraId="193928F8" w14:textId="15482BEA" w:rsidR="00B734B8" w:rsidRDefault="00B734B8" w:rsidP="0054464B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WG22</w:t>
            </w:r>
            <w:r w:rsidR="0054464B">
              <w:rPr>
                <w:b w:val="0"/>
                <w:bCs w:val="0"/>
                <w:sz w:val="20"/>
              </w:rPr>
              <w:t xml:space="preserve"> and </w:t>
            </w:r>
            <w:r w:rsidR="000E7E40">
              <w:rPr>
                <w:b w:val="0"/>
                <w:bCs w:val="0"/>
                <w:sz w:val="20"/>
              </w:rPr>
              <w:t>WG28</w:t>
            </w:r>
          </w:p>
        </w:tc>
      </w:tr>
      <w:tr w:rsidR="00163A39" w14:paraId="7AEF5880" w14:textId="77777777" w:rsidTr="0054464B">
        <w:trPr>
          <w:trHeight w:val="139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EA2" w14:textId="77777777" w:rsidR="00163A39" w:rsidRPr="002318E6" w:rsidRDefault="00163A39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eastAsia="DengXian"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318E6">
              <w:rPr>
                <w:rFonts w:cs="Arial"/>
                <w:sz w:val="20"/>
              </w:rPr>
              <w:br w:type="page"/>
            </w:r>
            <w:r w:rsidR="00EB1711" w:rsidRPr="002318E6">
              <w:rPr>
                <w:rFonts w:cs="Arial"/>
                <w:bCs w:val="0"/>
                <w:sz w:val="20"/>
                <w:u w:val="single"/>
              </w:rPr>
              <w:t>Background</w:t>
            </w:r>
            <w:r w:rsidR="00EB1711" w:rsidRPr="002318E6">
              <w:rPr>
                <w:rFonts w:eastAsia="DengXian"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231F4ECA" w14:textId="2B80C591" w:rsidR="004329C7" w:rsidRDefault="00992DF7" w:rsidP="00432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During</w:t>
            </w:r>
            <w:r w:rsidR="00F14E2D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</w:t>
            </w:r>
            <w:r w:rsidR="008A05A1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peer assessments of ExTLs, </w:t>
            </w:r>
            <w:r w:rsidR="00B74D12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IECEx </w:t>
            </w:r>
            <w:r w:rsidR="008A05A1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assessors will often request evidence</w:t>
            </w:r>
            <w:r w:rsidR="0040456C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that the dust used for thermal testing has </w:t>
            </w:r>
            <w:r w:rsidR="00B74D12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a thermal</w:t>
            </w:r>
            <w:r w:rsidR="00B2784D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conductivity </w:t>
            </w:r>
            <w:r w:rsidR="00B74D12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in compliance with IEC 60079-0.</w:t>
            </w:r>
            <w:r w:rsidR="004329C7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 </w:t>
            </w:r>
            <w:r w:rsidR="00C57583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However, </w:t>
            </w:r>
            <w:r w:rsidR="007C6D53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WG22 was unable to find a test specification for measuring the thermal conductivity </w:t>
            </w:r>
            <w:r w:rsidR="0061552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of </w:t>
            </w:r>
            <w:r w:rsidR="004B549D">
              <w:rPr>
                <w:rFonts w:ascii="Arial" w:hAnsi="Arial" w:cs="Arial"/>
                <w:sz w:val="20"/>
                <w:szCs w:val="20"/>
                <w:lang w:val="en-GB"/>
              </w:rPr>
              <w:t xml:space="preserve">dust </w:t>
            </w:r>
            <w:r w:rsidR="00A543A3">
              <w:rPr>
                <w:rFonts w:ascii="Arial" w:hAnsi="Arial" w:cs="Arial"/>
                <w:sz w:val="20"/>
                <w:szCs w:val="20"/>
                <w:lang w:val="en-GB"/>
              </w:rPr>
              <w:t xml:space="preserve">to include as a </w:t>
            </w:r>
            <w:r w:rsidR="00936970">
              <w:rPr>
                <w:rFonts w:ascii="Arial" w:hAnsi="Arial" w:cs="Arial"/>
                <w:sz w:val="20"/>
                <w:szCs w:val="20"/>
                <w:lang w:val="en-GB"/>
              </w:rPr>
              <w:t>normative reference</w:t>
            </w:r>
            <w:r w:rsidR="005420B4">
              <w:rPr>
                <w:rFonts w:ascii="Arial" w:hAnsi="Arial" w:cs="Arial"/>
                <w:sz w:val="20"/>
                <w:szCs w:val="20"/>
                <w:lang w:val="en-GB"/>
              </w:rPr>
              <w:t xml:space="preserve"> in Ed. 7.0 of IEC 60079-0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 xml:space="preserve">. The </w:t>
            </w:r>
            <w:r w:rsidR="00615526">
              <w:rPr>
                <w:rFonts w:ascii="Arial" w:hAnsi="Arial" w:cs="Arial"/>
                <w:sz w:val="20"/>
                <w:szCs w:val="20"/>
                <w:lang w:val="en-GB"/>
              </w:rPr>
              <w:t xml:space="preserve">solution was to include 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 xml:space="preserve">Note 2 </w:t>
            </w:r>
            <w:r w:rsidR="00DD2334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7173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D2334">
              <w:rPr>
                <w:rFonts w:ascii="Arial" w:hAnsi="Arial" w:cs="Arial"/>
                <w:sz w:val="20"/>
                <w:szCs w:val="20"/>
                <w:lang w:val="en-GB"/>
              </w:rPr>
              <w:t>Clause 26.5.1.3</w:t>
            </w:r>
            <w:r w:rsidR="000E6099">
              <w:rPr>
                <w:rFonts w:ascii="Arial" w:hAnsi="Arial" w:cs="Arial"/>
                <w:sz w:val="20"/>
                <w:szCs w:val="20"/>
                <w:lang w:val="en-GB"/>
              </w:rPr>
              <w:t>, which</w:t>
            </w:r>
            <w:r w:rsidR="00DD233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>suggest</w:t>
            </w:r>
            <w:r w:rsidR="000E609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 xml:space="preserve"> materials</w:t>
            </w:r>
            <w:r w:rsidR="009550DB">
              <w:rPr>
                <w:rFonts w:ascii="Arial" w:hAnsi="Arial" w:cs="Arial"/>
                <w:sz w:val="20"/>
                <w:szCs w:val="20"/>
                <w:lang w:val="en-GB"/>
              </w:rPr>
              <w:t xml:space="preserve"> that could comply with the requirement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52909F2" w14:textId="77777777" w:rsidR="0078041D" w:rsidRDefault="0078041D" w:rsidP="00432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FE7510" w14:textId="5EB84AC2" w:rsidR="0078041D" w:rsidRPr="002318E6" w:rsidRDefault="0078041D" w:rsidP="004329C7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This requirement was discussed during the 2024</w:t>
            </w:r>
            <w:r w:rsidR="00FA4EAC">
              <w:rPr>
                <w:rFonts w:ascii="Arial" w:hAnsi="Arial" w:cs="Arial"/>
                <w:sz w:val="20"/>
                <w:szCs w:val="20"/>
                <w:lang w:val="en-GB"/>
              </w:rPr>
              <w:t xml:space="preserve"> TC31/WG22 meeting</w:t>
            </w:r>
            <w:r w:rsidR="005B3230">
              <w:rPr>
                <w:rFonts w:ascii="Arial" w:hAnsi="Arial" w:cs="Arial"/>
                <w:sz w:val="20"/>
                <w:szCs w:val="20"/>
                <w:lang w:val="en-GB"/>
              </w:rPr>
              <w:t xml:space="preserve"> in Split.</w:t>
            </w:r>
          </w:p>
          <w:p w14:paraId="7EB182AE" w14:textId="3F7040D1" w:rsidR="00EB1711" w:rsidRPr="002318E6" w:rsidRDefault="00EB1711" w:rsidP="00EB1711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</w:pPr>
          </w:p>
        </w:tc>
      </w:tr>
      <w:tr w:rsidR="00EB1711" w14:paraId="4E1A3671" w14:textId="77777777" w:rsidTr="0054464B">
        <w:trPr>
          <w:trHeight w:val="83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A1D" w14:textId="0E26CDF9" w:rsidR="00EB1711" w:rsidRPr="00212B4A" w:rsidRDefault="00EB1711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12B4A">
              <w:rPr>
                <w:bCs w:val="0"/>
                <w:sz w:val="20"/>
                <w:u w:val="single"/>
              </w:rPr>
              <w:t>Question</w:t>
            </w:r>
            <w:r w:rsidR="00E709E1">
              <w:rPr>
                <w:bCs w:val="0"/>
                <w:sz w:val="20"/>
                <w:u w:val="single"/>
              </w:rPr>
              <w:t xml:space="preserve"> 1</w:t>
            </w:r>
            <w:r w:rsidRPr="00212B4A"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2234A616" w14:textId="06281B1B" w:rsidR="00EB1711" w:rsidRDefault="005A37B7" w:rsidP="005A37B7">
            <w:pPr>
              <w:autoSpaceDE w:val="0"/>
              <w:autoSpaceDN w:val="0"/>
              <w:adjustRightInd w:val="0"/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</w:pPr>
            <w:r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Is it required to </w:t>
            </w:r>
            <w:r w:rsidR="00F13967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verify the thermal conductivity of the </w:t>
            </w:r>
            <w:r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dust </w:t>
            </w:r>
            <w:r w:rsidR="00F13967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used for thermal</w:t>
            </w:r>
            <w:r w:rsidR="002A03DE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 testing?</w:t>
            </w:r>
          </w:p>
          <w:p w14:paraId="1CADAEDE" w14:textId="58D455C9" w:rsidR="00913D0E" w:rsidRPr="005A37B7" w:rsidRDefault="00913D0E" w:rsidP="00342861">
            <w:pPr>
              <w:pStyle w:val="ListNumber"/>
              <w:tabs>
                <w:tab w:val="left" w:pos="340"/>
              </w:tabs>
              <w:rPr>
                <w:rFonts w:ascii="ArialMT" w:eastAsia="DengXian" w:hAnsi="ArialMT" w:cs="ArialMT"/>
                <w:lang w:val="en-US" w:eastAsia="en-AU"/>
              </w:rPr>
            </w:pPr>
          </w:p>
        </w:tc>
      </w:tr>
      <w:tr w:rsidR="00EB1711" w14:paraId="432FE8BB" w14:textId="77777777" w:rsidTr="0054464B">
        <w:trPr>
          <w:trHeight w:val="1200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4F1" w14:textId="034BEA46" w:rsidR="00EB1711" w:rsidRPr="00212B4A" w:rsidRDefault="00EB1711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  <w:u w:val="single"/>
              </w:rPr>
            </w:pPr>
            <w:r w:rsidRPr="00212B4A">
              <w:rPr>
                <w:bCs w:val="0"/>
                <w:sz w:val="20"/>
                <w:u w:val="single"/>
              </w:rPr>
              <w:t>Answer</w:t>
            </w:r>
            <w:r w:rsidR="00E709E1">
              <w:rPr>
                <w:bCs w:val="0"/>
                <w:sz w:val="20"/>
                <w:u w:val="single"/>
              </w:rPr>
              <w:t xml:space="preserve"> 1</w:t>
            </w:r>
            <w:r w:rsidRPr="00212B4A">
              <w:rPr>
                <w:bCs w:val="0"/>
                <w:sz w:val="20"/>
                <w:u w:val="single"/>
              </w:rPr>
              <w:t>:</w:t>
            </w:r>
          </w:p>
          <w:p w14:paraId="1B537CED" w14:textId="3FB183D6" w:rsidR="00212B4A" w:rsidRDefault="00BB2928" w:rsidP="00212B4A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No, b</w:t>
            </w:r>
            <w:r w:rsidR="00D874BD" w:rsidRPr="00D874BD">
              <w:rPr>
                <w:rFonts w:ascii="Arial" w:hAnsi="Arial"/>
                <w:sz w:val="20"/>
                <w:szCs w:val="20"/>
              </w:rPr>
              <w:t>ecause there is no unified standard for measuring the thermal conductivity of dust</w:t>
            </w:r>
            <w:r w:rsidR="00D874BD">
              <w:rPr>
                <w:rFonts w:ascii="Arial" w:hAnsi="Arial"/>
                <w:sz w:val="20"/>
                <w:szCs w:val="20"/>
              </w:rPr>
              <w:t xml:space="preserve">, </w:t>
            </w:r>
            <w:r w:rsidR="00621404">
              <w:rPr>
                <w:rFonts w:ascii="Arial" w:hAnsi="Arial"/>
                <w:sz w:val="20"/>
                <w:szCs w:val="20"/>
              </w:rPr>
              <w:t>verification</w:t>
            </w:r>
            <w:r w:rsidR="00936970">
              <w:rPr>
                <w:rFonts w:ascii="Arial" w:hAnsi="Arial"/>
                <w:sz w:val="20"/>
                <w:szCs w:val="20"/>
              </w:rPr>
              <w:t xml:space="preserve"> </w:t>
            </w:r>
            <w:r w:rsidR="00621404">
              <w:rPr>
                <w:rFonts w:ascii="Arial" w:hAnsi="Arial"/>
                <w:sz w:val="20"/>
                <w:szCs w:val="20"/>
              </w:rPr>
              <w:t>is not required</w:t>
            </w:r>
            <w:r w:rsidR="002420BF">
              <w:rPr>
                <w:rFonts w:ascii="Arial" w:hAnsi="Arial"/>
                <w:sz w:val="20"/>
                <w:szCs w:val="20"/>
              </w:rPr>
              <w:t>.</w:t>
            </w:r>
            <w:r w:rsidR="00275782">
              <w:rPr>
                <w:rFonts w:ascii="Arial" w:hAnsi="Arial"/>
                <w:sz w:val="20"/>
                <w:szCs w:val="20"/>
              </w:rPr>
              <w:t xml:space="preserve">  The </w:t>
            </w:r>
            <w:r w:rsidR="0015789E">
              <w:rPr>
                <w:rFonts w:ascii="Arial" w:hAnsi="Arial"/>
                <w:sz w:val="20"/>
                <w:szCs w:val="20"/>
              </w:rPr>
              <w:t>CDV for IEC 60079-0, Ed. 8.0</w:t>
            </w:r>
            <w:r w:rsidR="00F202F7">
              <w:rPr>
                <w:rFonts w:ascii="Arial" w:hAnsi="Arial"/>
                <w:sz w:val="20"/>
                <w:szCs w:val="20"/>
              </w:rPr>
              <w:t>, 31/1781/CDV</w:t>
            </w:r>
            <w:r w:rsidR="00F81932">
              <w:rPr>
                <w:rFonts w:ascii="Arial" w:hAnsi="Arial"/>
                <w:sz w:val="20"/>
                <w:szCs w:val="20"/>
              </w:rPr>
              <w:t>,</w:t>
            </w:r>
            <w:r w:rsidR="00E57F5B">
              <w:rPr>
                <w:rFonts w:ascii="Arial" w:hAnsi="Arial"/>
                <w:sz w:val="20"/>
                <w:szCs w:val="20"/>
              </w:rPr>
              <w:t xml:space="preserve"> </w:t>
            </w:r>
            <w:r w:rsidR="0056485D">
              <w:rPr>
                <w:rFonts w:ascii="Arial" w:hAnsi="Arial"/>
                <w:sz w:val="20"/>
                <w:szCs w:val="20"/>
              </w:rPr>
              <w:t>clarif</w:t>
            </w:r>
            <w:r w:rsidR="00C13BE5">
              <w:rPr>
                <w:rFonts w:ascii="Arial" w:hAnsi="Arial"/>
                <w:sz w:val="20"/>
                <w:szCs w:val="20"/>
              </w:rPr>
              <w:t>ies</w:t>
            </w:r>
            <w:r w:rsidR="0056485D">
              <w:rPr>
                <w:rFonts w:ascii="Arial" w:hAnsi="Arial"/>
                <w:sz w:val="20"/>
                <w:szCs w:val="20"/>
              </w:rPr>
              <w:t xml:space="preserve"> this in</w:t>
            </w:r>
            <w:r w:rsidR="00E57F5B">
              <w:rPr>
                <w:rFonts w:ascii="Arial" w:hAnsi="Arial"/>
                <w:sz w:val="20"/>
                <w:szCs w:val="20"/>
              </w:rPr>
              <w:t xml:space="preserve"> </w:t>
            </w:r>
            <w:r w:rsidR="001F204D">
              <w:rPr>
                <w:rFonts w:ascii="Arial" w:hAnsi="Arial"/>
                <w:sz w:val="20"/>
                <w:szCs w:val="20"/>
              </w:rPr>
              <w:t xml:space="preserve">Clause 26.5.1.3 </w:t>
            </w:r>
            <w:r w:rsidR="00C52ABC">
              <w:rPr>
                <w:rFonts w:ascii="Arial" w:hAnsi="Arial"/>
                <w:sz w:val="20"/>
                <w:szCs w:val="20"/>
              </w:rPr>
              <w:t xml:space="preserve">by </w:t>
            </w:r>
            <w:r w:rsidR="002A2A27">
              <w:rPr>
                <w:rFonts w:ascii="Arial" w:hAnsi="Arial"/>
                <w:sz w:val="20"/>
                <w:szCs w:val="20"/>
              </w:rPr>
              <w:t>mov</w:t>
            </w:r>
            <w:r w:rsidR="00C52ABC">
              <w:rPr>
                <w:rFonts w:ascii="Arial" w:hAnsi="Arial"/>
                <w:sz w:val="20"/>
                <w:szCs w:val="20"/>
              </w:rPr>
              <w:t>ing</w:t>
            </w:r>
            <w:r w:rsidR="002A2A27">
              <w:rPr>
                <w:rFonts w:ascii="Arial" w:hAnsi="Arial"/>
                <w:sz w:val="20"/>
                <w:szCs w:val="20"/>
              </w:rPr>
              <w:t xml:space="preserve"> the thermal conductivity </w:t>
            </w:r>
            <w:r w:rsidR="00937DEE">
              <w:rPr>
                <w:rFonts w:ascii="Arial" w:hAnsi="Arial"/>
                <w:sz w:val="20"/>
                <w:szCs w:val="20"/>
              </w:rPr>
              <w:t xml:space="preserve">specification </w:t>
            </w:r>
            <w:r w:rsidR="002A2A27">
              <w:rPr>
                <w:rFonts w:ascii="Arial" w:hAnsi="Arial"/>
                <w:sz w:val="20"/>
                <w:szCs w:val="20"/>
              </w:rPr>
              <w:t xml:space="preserve">to </w:t>
            </w:r>
            <w:r w:rsidR="00937DEE">
              <w:rPr>
                <w:rFonts w:ascii="Arial" w:hAnsi="Arial"/>
                <w:sz w:val="20"/>
                <w:szCs w:val="20"/>
              </w:rPr>
              <w:t>NOTE 3</w:t>
            </w:r>
            <w:r w:rsidR="00E57F5B">
              <w:rPr>
                <w:rFonts w:ascii="Arial" w:hAnsi="Arial"/>
                <w:sz w:val="20"/>
                <w:szCs w:val="20"/>
              </w:rPr>
              <w:t>.</w:t>
            </w:r>
          </w:p>
          <w:p w14:paraId="7E72319E" w14:textId="77777777" w:rsidR="00F35580" w:rsidRDefault="00F35580" w:rsidP="00212B4A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sz w:val="20"/>
                <w:szCs w:val="20"/>
              </w:rPr>
            </w:pPr>
          </w:p>
          <w:p w14:paraId="56D84DDD" w14:textId="1EC6ABDB" w:rsidR="00F55F2B" w:rsidRPr="00D874BD" w:rsidRDefault="00F35580" w:rsidP="00A23FBD">
            <w:pPr>
              <w:pStyle w:val="NOTE"/>
              <w:rPr>
                <w:sz w:val="20"/>
                <w:szCs w:val="20"/>
              </w:rPr>
            </w:pPr>
            <w:r>
              <w:t>NOTE 3</w:t>
            </w:r>
            <w:r>
              <w:t> </w:t>
            </w:r>
            <w:r>
              <w:t>The test dusts shown typically have a thermal conductivity of no more than 0,10 W/(</w:t>
            </w:r>
            <w:proofErr w:type="spellStart"/>
            <w:r>
              <w:t>m</w:t>
            </w:r>
            <w:r>
              <w:rPr>
                <w:rFonts w:ascii="Symbol" w:hAnsi="Symbol"/>
              </w:rPr>
              <w:t>´</w:t>
            </w:r>
            <w:r>
              <w:t>K</w:t>
            </w:r>
            <w:proofErr w:type="spellEnd"/>
            <w:r>
              <w:t>) measured at (100 </w:t>
            </w:r>
            <w:r>
              <w:rPr>
                <w:rFonts w:ascii="Symbol" w:hAnsi="Symbol"/>
              </w:rPr>
              <w:t>±</w:t>
            </w:r>
            <w:r>
              <w:t> 5) ºC. It is not a requirement of this document that the thermal conductivity be verified.</w:t>
            </w:r>
          </w:p>
        </w:tc>
      </w:tr>
      <w:tr w:rsidR="00E709E1" w14:paraId="26724214" w14:textId="77777777" w:rsidTr="0054464B">
        <w:trPr>
          <w:trHeight w:val="1200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206" w14:textId="3573820C" w:rsidR="00E709E1" w:rsidRPr="00212B4A" w:rsidRDefault="00E709E1" w:rsidP="00E709E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12B4A">
              <w:rPr>
                <w:bCs w:val="0"/>
                <w:sz w:val="20"/>
                <w:u w:val="single"/>
              </w:rPr>
              <w:t>Question</w:t>
            </w:r>
            <w:r>
              <w:rPr>
                <w:bCs w:val="0"/>
                <w:sz w:val="20"/>
                <w:u w:val="single"/>
              </w:rPr>
              <w:t xml:space="preserve"> 2</w:t>
            </w:r>
            <w:r w:rsidRPr="00212B4A"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7B2DC883" w14:textId="327D5ECF" w:rsidR="0054464B" w:rsidRPr="00212B4A" w:rsidRDefault="002236CD" w:rsidP="002236CD">
            <w:pPr>
              <w:autoSpaceDE w:val="0"/>
              <w:autoSpaceDN w:val="0"/>
              <w:adjustRightInd w:val="0"/>
              <w:rPr>
                <w:bCs/>
                <w:sz w:val="20"/>
                <w:u w:val="single"/>
              </w:rPr>
            </w:pPr>
            <w:r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How will the suitability of the dust used for testing be verified if there is n</w:t>
            </w:r>
            <w:r w:rsidR="00381A34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o thermal conductivity requirement?</w:t>
            </w:r>
          </w:p>
        </w:tc>
      </w:tr>
      <w:tr w:rsidR="00E709E1" w14:paraId="0D2BC187" w14:textId="77777777" w:rsidTr="0054464B">
        <w:trPr>
          <w:trHeight w:val="1200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A7E" w14:textId="45BF1E95" w:rsidR="00E709E1" w:rsidRPr="00212B4A" w:rsidRDefault="00E709E1" w:rsidP="00E709E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  <w:u w:val="single"/>
              </w:rPr>
            </w:pPr>
            <w:r w:rsidRPr="00212B4A">
              <w:rPr>
                <w:bCs w:val="0"/>
                <w:sz w:val="20"/>
                <w:u w:val="single"/>
              </w:rPr>
              <w:t>Answer</w:t>
            </w:r>
            <w:r>
              <w:rPr>
                <w:bCs w:val="0"/>
                <w:sz w:val="20"/>
                <w:u w:val="single"/>
              </w:rPr>
              <w:t xml:space="preserve"> 2</w:t>
            </w:r>
            <w:r w:rsidRPr="00212B4A">
              <w:rPr>
                <w:bCs w:val="0"/>
                <w:sz w:val="20"/>
                <w:u w:val="single"/>
              </w:rPr>
              <w:t>:</w:t>
            </w:r>
          </w:p>
          <w:p w14:paraId="3FE4364C" w14:textId="12919586" w:rsidR="00C44BCF" w:rsidRPr="00BA0FA4" w:rsidRDefault="00C44BCF" w:rsidP="00C44BCF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 w:cs="Arial"/>
                <w:sz w:val="20"/>
                <w:szCs w:val="20"/>
              </w:rPr>
            </w:pPr>
            <w:r w:rsidRPr="00BA0FA4">
              <w:rPr>
                <w:rFonts w:ascii="Arial" w:hAnsi="Arial" w:cs="Arial"/>
                <w:sz w:val="20"/>
                <w:szCs w:val="20"/>
              </w:rPr>
              <w:t>The CDV for IEC 60079-0, Ed. 8.0</w:t>
            </w:r>
            <w:r w:rsidR="00F81932">
              <w:rPr>
                <w:rFonts w:ascii="Arial" w:hAnsi="Arial"/>
                <w:sz w:val="20"/>
                <w:szCs w:val="20"/>
              </w:rPr>
              <w:t>, 31/1781/CDV,</w:t>
            </w:r>
            <w:r w:rsidRPr="00BA0FA4">
              <w:rPr>
                <w:rFonts w:ascii="Arial" w:hAnsi="Arial" w:cs="Arial"/>
                <w:sz w:val="20"/>
                <w:szCs w:val="20"/>
              </w:rPr>
              <w:t xml:space="preserve"> clarif</w:t>
            </w:r>
            <w:r w:rsidR="00710D83">
              <w:rPr>
                <w:rFonts w:ascii="Arial" w:hAnsi="Arial" w:cs="Arial"/>
                <w:sz w:val="20"/>
                <w:szCs w:val="20"/>
              </w:rPr>
              <w:t>ies</w:t>
            </w:r>
            <w:r w:rsidRPr="00BA0FA4">
              <w:rPr>
                <w:rFonts w:ascii="Arial" w:hAnsi="Arial" w:cs="Arial"/>
                <w:sz w:val="20"/>
                <w:szCs w:val="20"/>
              </w:rPr>
              <w:t xml:space="preserve"> this </w:t>
            </w:r>
            <w:r w:rsidR="00DE0DB5" w:rsidRPr="00BA0FA4">
              <w:rPr>
                <w:rFonts w:ascii="Arial" w:hAnsi="Arial" w:cs="Arial"/>
                <w:sz w:val="20"/>
                <w:szCs w:val="20"/>
              </w:rPr>
              <w:t>by replacing</w:t>
            </w:r>
            <w:r w:rsidRPr="00BA0FA4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DE0DB5" w:rsidRPr="00BA0FA4">
              <w:rPr>
                <w:rFonts w:ascii="Arial" w:hAnsi="Arial" w:cs="Arial"/>
                <w:sz w:val="20"/>
                <w:szCs w:val="20"/>
              </w:rPr>
              <w:t xml:space="preserve">existing </w:t>
            </w:r>
            <w:r w:rsidRPr="00BA0FA4">
              <w:rPr>
                <w:rFonts w:ascii="Arial" w:hAnsi="Arial" w:cs="Arial"/>
                <w:sz w:val="20"/>
                <w:szCs w:val="20"/>
              </w:rPr>
              <w:t>seventh paragraph of Clause 26.5.1.3</w:t>
            </w:r>
            <w:r w:rsidR="00DE0DB5" w:rsidRPr="00BA0FA4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BA0FA4" w:rsidRPr="00BA0FA4">
              <w:rPr>
                <w:rFonts w:ascii="Arial" w:hAnsi="Arial" w:cs="Arial"/>
                <w:sz w:val="20"/>
                <w:szCs w:val="20"/>
              </w:rPr>
              <w:t xml:space="preserve"> the following</w:t>
            </w:r>
            <w:r w:rsidR="00542D1B">
              <w:rPr>
                <w:rFonts w:ascii="Arial" w:hAnsi="Arial" w:cs="Arial"/>
                <w:sz w:val="20"/>
                <w:szCs w:val="20"/>
              </w:rPr>
              <w:t xml:space="preserve"> requirement for test dust</w:t>
            </w:r>
            <w:r w:rsidR="00BA0FA4" w:rsidRPr="00BA0FA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AB13A1" w14:textId="77777777" w:rsidR="00BA0FA4" w:rsidRPr="00A23FBD" w:rsidRDefault="00BA0FA4" w:rsidP="00BA0FA4">
            <w:pPr>
              <w:pStyle w:val="PARAGRAPH"/>
              <w:rPr>
                <w:lang w:val="en-GB" w:eastAsia="zh-CN"/>
              </w:rPr>
            </w:pPr>
            <w:r w:rsidRPr="00BA0FA4">
              <w:rPr>
                <w:lang w:val="en-GB"/>
              </w:rPr>
              <w:t xml:space="preserve">For electrical equipment of Group III, EPL Da, the test is conducted with the electrical equipment surrounded by at least a 200 mm thick layer of dust on all sides. </w:t>
            </w:r>
          </w:p>
          <w:p w14:paraId="6C167452" w14:textId="77777777" w:rsidR="0036505C" w:rsidRDefault="00BA0FA4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3FBD">
              <w:rPr>
                <w:rFonts w:ascii="Arial" w:hAnsi="Arial" w:cs="Arial"/>
                <w:sz w:val="20"/>
                <w:szCs w:val="20"/>
                <w:lang w:val="en-GB"/>
              </w:rPr>
              <w:t xml:space="preserve">Dusts used for this test include wood flour, cocoa powder, diatomaceous earth, calcium </w:t>
            </w:r>
            <w:r w:rsidR="005C25D2">
              <w:rPr>
                <w:rFonts w:ascii="Arial" w:hAnsi="Arial" w:cs="Arial"/>
                <w:sz w:val="20"/>
                <w:szCs w:val="20"/>
                <w:lang w:val="en-GB"/>
              </w:rPr>
              <w:t>silicate</w:t>
            </w:r>
            <w:r w:rsidRPr="00A23FBD">
              <w:rPr>
                <w:rFonts w:ascii="Arial" w:hAnsi="Arial" w:cs="Arial"/>
                <w:sz w:val="20"/>
                <w:szCs w:val="20"/>
                <w:lang w:val="en-GB"/>
              </w:rPr>
              <w:t xml:space="preserve">, glass beads, expandable polystyrene beads. </w:t>
            </w:r>
            <w:r w:rsidR="00415680" w:rsidRPr="00A23FBD">
              <w:rPr>
                <w:rFonts w:ascii="Arial" w:hAnsi="Arial" w:cs="Arial"/>
                <w:sz w:val="20"/>
                <w:szCs w:val="20"/>
                <w:lang w:val="en-GB"/>
              </w:rPr>
              <w:t>It is recommended that o</w:t>
            </w:r>
            <w:r w:rsidRPr="00A23FBD">
              <w:rPr>
                <w:rFonts w:ascii="Arial" w:hAnsi="Arial" w:cs="Arial"/>
                <w:sz w:val="20"/>
                <w:szCs w:val="20"/>
                <w:lang w:val="en-GB"/>
              </w:rPr>
              <w:t xml:space="preserve">rganic dusts </w:t>
            </w:r>
            <w:r w:rsidR="004C767F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r w:rsidRPr="00A23FBD">
              <w:rPr>
                <w:rFonts w:ascii="Arial" w:hAnsi="Arial" w:cs="Arial"/>
                <w:sz w:val="20"/>
                <w:szCs w:val="20"/>
                <w:lang w:val="en-GB"/>
              </w:rPr>
              <w:t xml:space="preserve"> replaced after 10 tests due to the property changes resulting from the heating.</w:t>
            </w:r>
          </w:p>
          <w:p w14:paraId="5AD89D8B" w14:textId="77777777" w:rsidR="003273C3" w:rsidRDefault="003273C3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sz w:val="20"/>
              </w:rPr>
            </w:pPr>
          </w:p>
          <w:p w14:paraId="085DAFBE" w14:textId="07F3C62E" w:rsidR="00E709E1" w:rsidRPr="00A23FBD" w:rsidRDefault="00E709E1" w:rsidP="00A23FB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cs="Arial"/>
                <w:b/>
                <w:bCs/>
                <w:sz w:val="20"/>
                <w:lang w:val="en-GB"/>
              </w:rPr>
            </w:pPr>
          </w:p>
        </w:tc>
      </w:tr>
      <w:tr w:rsidR="00F80CAE" w14:paraId="3EC4C10E" w14:textId="77777777" w:rsidTr="00A23FBD">
        <w:trPr>
          <w:trHeight w:val="476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996C" w14:textId="77777777" w:rsidR="00F80CAE" w:rsidRDefault="00A62722" w:rsidP="00A62722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eastAsia="SimSun" w:cs="Arial"/>
                <w:b w:val="0"/>
                <w:sz w:val="20"/>
                <w:shd w:val="clear" w:color="auto" w:fill="FFFFFF"/>
              </w:rPr>
            </w:pPr>
            <w:r w:rsidRPr="00A23FBD">
              <w:rPr>
                <w:b w:val="0"/>
                <w:sz w:val="20"/>
              </w:rPr>
              <w:lastRenderedPageBreak/>
              <w:t xml:space="preserve">This DS is applicable to </w:t>
            </w:r>
            <w:r w:rsidRPr="00A23FBD">
              <w:rPr>
                <w:rFonts w:eastAsia="SimSun" w:cs="Arial"/>
                <w:b w:val="0"/>
                <w:sz w:val="20"/>
                <w:shd w:val="clear" w:color="auto" w:fill="FFFFFF"/>
              </w:rPr>
              <w:t>only for the new certifications (Issue No. 0) and their subsequent revisions.</w:t>
            </w:r>
          </w:p>
          <w:p w14:paraId="61D4E0E6" w14:textId="256E5B8F" w:rsidR="00E057FA" w:rsidRPr="00A23FBD" w:rsidRDefault="00E057FA" w:rsidP="00A62722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  <w:u w:val="single"/>
              </w:rPr>
            </w:pPr>
          </w:p>
        </w:tc>
      </w:tr>
    </w:tbl>
    <w:p w14:paraId="667ADA83" w14:textId="121C07F8" w:rsidR="00E478F0" w:rsidRPr="008A40B2" w:rsidRDefault="00E478F0" w:rsidP="00A23FBD">
      <w:pPr>
        <w:pStyle w:val="NOTE"/>
        <w:adjustRightInd w:val="0"/>
      </w:pPr>
    </w:p>
    <w:sectPr w:rsidR="00E478F0" w:rsidRPr="008A40B2" w:rsidSect="00E50FD3">
      <w:headerReference w:type="default" r:id="rId7"/>
      <w:footerReference w:type="default" r:id="rId8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B503" w14:textId="77777777" w:rsidR="001A7877" w:rsidRDefault="001A7877" w:rsidP="002378AA">
      <w:r>
        <w:separator/>
      </w:r>
    </w:p>
  </w:endnote>
  <w:endnote w:type="continuationSeparator" w:id="0">
    <w:p w14:paraId="2FBA0DB5" w14:textId="77777777" w:rsidR="001A7877" w:rsidRDefault="001A7877" w:rsidP="0023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445B" w14:textId="77777777" w:rsidR="002378AA" w:rsidRDefault="002378AA" w:rsidP="002378AA">
    <w:pPr>
      <w:pStyle w:val="Footer"/>
      <w:jc w:val="right"/>
    </w:pPr>
    <w:r w:rsidRPr="002378AA">
      <w:rPr>
        <w:rFonts w:ascii="Arial" w:hAnsi="Arial" w:cs="Arial"/>
        <w:sz w:val="20"/>
        <w:szCs w:val="20"/>
      </w:rPr>
      <w:t xml:space="preserve">Page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PAGE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AD153D">
      <w:rPr>
        <w:rFonts w:ascii="Arial" w:hAnsi="Arial" w:cs="Arial"/>
        <w:b/>
        <w:noProof/>
        <w:sz w:val="20"/>
        <w:szCs w:val="20"/>
      </w:rPr>
      <w:t>1</w:t>
    </w:r>
    <w:r w:rsidRPr="002378AA">
      <w:rPr>
        <w:rFonts w:ascii="Arial" w:hAnsi="Arial" w:cs="Arial"/>
        <w:b/>
        <w:sz w:val="20"/>
        <w:szCs w:val="20"/>
      </w:rPr>
      <w:fldChar w:fldCharType="end"/>
    </w:r>
    <w:r w:rsidRPr="002378AA">
      <w:rPr>
        <w:rFonts w:ascii="Arial" w:hAnsi="Arial" w:cs="Arial"/>
        <w:sz w:val="20"/>
        <w:szCs w:val="20"/>
      </w:rPr>
      <w:t xml:space="preserve"> of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NUMPAGES 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AD153D">
      <w:rPr>
        <w:rFonts w:ascii="Arial" w:hAnsi="Arial" w:cs="Arial"/>
        <w:b/>
        <w:noProof/>
        <w:sz w:val="20"/>
        <w:szCs w:val="20"/>
      </w:rPr>
      <w:t>1</w:t>
    </w:r>
    <w:r w:rsidRPr="002378AA">
      <w:rPr>
        <w:rFonts w:ascii="Arial" w:hAnsi="Arial" w:cs="Arial"/>
        <w:b/>
        <w:sz w:val="20"/>
        <w:szCs w:val="20"/>
      </w:rPr>
      <w:fldChar w:fldCharType="end"/>
    </w:r>
  </w:p>
  <w:p w14:paraId="3D934C06" w14:textId="77777777" w:rsidR="002378AA" w:rsidRDefault="00237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5D05" w14:textId="77777777" w:rsidR="001A7877" w:rsidRDefault="001A7877" w:rsidP="002378AA">
      <w:r>
        <w:separator/>
      </w:r>
    </w:p>
  </w:footnote>
  <w:footnote w:type="continuationSeparator" w:id="0">
    <w:p w14:paraId="4130E561" w14:textId="77777777" w:rsidR="001A7877" w:rsidRDefault="001A7877" w:rsidP="0023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E2B" w14:textId="000D7BFD" w:rsidR="002378AA" w:rsidRDefault="00D546DD" w:rsidP="002378AA">
    <w:pPr>
      <w:pStyle w:val="Header"/>
    </w:pPr>
    <w:r>
      <w:rPr>
        <w:noProof/>
      </w:rPr>
      <w:drawing>
        <wp:inline distT="0" distB="0" distL="0" distR="0" wp14:anchorId="1D5C500D" wp14:editId="7CC13C51">
          <wp:extent cx="523628" cy="4495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628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1C911" w14:textId="656212A4" w:rsidR="00383DDF" w:rsidRPr="00383DDF" w:rsidRDefault="0054464B" w:rsidP="00163A39">
    <w:pPr>
      <w:pStyle w:val="Header"/>
      <w:jc w:val="right"/>
      <w:rPr>
        <w:rFonts w:ascii="Arial" w:hAnsi="Arial" w:cs="Arial"/>
        <w:b/>
        <w:bCs/>
        <w:sz w:val="22"/>
        <w:szCs w:val="22"/>
      </w:rPr>
    </w:pPr>
    <w:proofErr w:type="spellStart"/>
    <w:r>
      <w:rPr>
        <w:rFonts w:ascii="Arial" w:hAnsi="Arial" w:cs="Arial"/>
        <w:b/>
        <w:bCs/>
        <w:sz w:val="22"/>
        <w:szCs w:val="22"/>
      </w:rPr>
      <w:t>ExTA</w:t>
    </w:r>
    <w:r w:rsidR="00A23FBD">
      <w:rPr>
        <w:rFonts w:ascii="Arial" w:hAnsi="Arial" w:cs="Arial"/>
        <w:b/>
        <w:bCs/>
        <w:sz w:val="22"/>
        <w:szCs w:val="22"/>
      </w:rPr>
      <w:t>G</w:t>
    </w:r>
    <w:proofErr w:type="spellEnd"/>
    <w:r w:rsidR="00A23FBD">
      <w:rPr>
        <w:rFonts w:ascii="Arial" w:hAnsi="Arial" w:cs="Arial"/>
        <w:b/>
        <w:bCs/>
        <w:sz w:val="22"/>
        <w:szCs w:val="22"/>
      </w:rPr>
      <w:t xml:space="preserve"> DS 2024/001</w:t>
    </w:r>
  </w:p>
  <w:p w14:paraId="4E01CCEB" w14:textId="09174E3A" w:rsidR="00BA6B77" w:rsidRPr="00383DDF" w:rsidRDefault="00552801" w:rsidP="00383DDF">
    <w:pPr>
      <w:pStyle w:val="Header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July</w:t>
    </w:r>
    <w:r w:rsidR="008B1E00">
      <w:rPr>
        <w:rFonts w:ascii="Arial" w:hAnsi="Arial" w:cs="Arial"/>
        <w:b/>
        <w:bCs/>
        <w:sz w:val="22"/>
        <w:szCs w:val="22"/>
      </w:rPr>
      <w:t xml:space="preserve"> </w:t>
    </w:r>
    <w:r w:rsidR="0054464B">
      <w:rPr>
        <w:rFonts w:ascii="Arial" w:hAnsi="Arial" w:cs="Arial"/>
        <w:b/>
        <w:bCs/>
        <w:sz w:val="22"/>
        <w:szCs w:val="22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122B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20247"/>
    <w:multiLevelType w:val="hybridMultilevel"/>
    <w:tmpl w:val="9C6A401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363FE3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1519"/>
    <w:multiLevelType w:val="singleLevel"/>
    <w:tmpl w:val="04090011"/>
    <w:lvl w:ilvl="0">
      <w:start w:val="1"/>
      <w:numFmt w:val="decimal"/>
      <w:lvlText w:val="%1)"/>
      <w:lvlJc w:val="left"/>
      <w:pPr>
        <w:ind w:left="420" w:hanging="420"/>
      </w:pPr>
    </w:lvl>
  </w:abstractNum>
  <w:abstractNum w:abstractNumId="4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4668F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AA"/>
    <w:rsid w:val="00005BA0"/>
    <w:rsid w:val="0000701A"/>
    <w:rsid w:val="0002056F"/>
    <w:rsid w:val="000228B5"/>
    <w:rsid w:val="00022FF4"/>
    <w:rsid w:val="00031057"/>
    <w:rsid w:val="000540E4"/>
    <w:rsid w:val="000735B2"/>
    <w:rsid w:val="00091D3E"/>
    <w:rsid w:val="000B23B8"/>
    <w:rsid w:val="000E3F2B"/>
    <w:rsid w:val="000E540B"/>
    <w:rsid w:val="000E6099"/>
    <w:rsid w:val="000E64D5"/>
    <w:rsid w:val="000E7E40"/>
    <w:rsid w:val="00113BFB"/>
    <w:rsid w:val="0012032D"/>
    <w:rsid w:val="00126D0B"/>
    <w:rsid w:val="0015789E"/>
    <w:rsid w:val="00163A39"/>
    <w:rsid w:val="00166563"/>
    <w:rsid w:val="001716F7"/>
    <w:rsid w:val="001A7877"/>
    <w:rsid w:val="001B32ED"/>
    <w:rsid w:val="001B521B"/>
    <w:rsid w:val="001C619F"/>
    <w:rsid w:val="001D45C7"/>
    <w:rsid w:val="001F204D"/>
    <w:rsid w:val="001F2BBB"/>
    <w:rsid w:val="00201903"/>
    <w:rsid w:val="0021011C"/>
    <w:rsid w:val="00212B4A"/>
    <w:rsid w:val="002236CD"/>
    <w:rsid w:val="002318E6"/>
    <w:rsid w:val="002378AA"/>
    <w:rsid w:val="002420BF"/>
    <w:rsid w:val="00275782"/>
    <w:rsid w:val="00295DE4"/>
    <w:rsid w:val="002A03DE"/>
    <w:rsid w:val="002A2A27"/>
    <w:rsid w:val="002C3234"/>
    <w:rsid w:val="002D2049"/>
    <w:rsid w:val="003041FE"/>
    <w:rsid w:val="003254D9"/>
    <w:rsid w:val="003273C3"/>
    <w:rsid w:val="00342861"/>
    <w:rsid w:val="0036505C"/>
    <w:rsid w:val="00381A34"/>
    <w:rsid w:val="00383DDF"/>
    <w:rsid w:val="00391E22"/>
    <w:rsid w:val="003A6483"/>
    <w:rsid w:val="003B45F1"/>
    <w:rsid w:val="003E76AC"/>
    <w:rsid w:val="0040438F"/>
    <w:rsid w:val="0040456C"/>
    <w:rsid w:val="00415680"/>
    <w:rsid w:val="00424D0D"/>
    <w:rsid w:val="00427DC4"/>
    <w:rsid w:val="004329C7"/>
    <w:rsid w:val="00436E8C"/>
    <w:rsid w:val="00445B20"/>
    <w:rsid w:val="00465C23"/>
    <w:rsid w:val="0046726B"/>
    <w:rsid w:val="004967A6"/>
    <w:rsid w:val="004A52F1"/>
    <w:rsid w:val="004A63A3"/>
    <w:rsid w:val="004B3E3D"/>
    <w:rsid w:val="004B549D"/>
    <w:rsid w:val="004C767F"/>
    <w:rsid w:val="004D1DA0"/>
    <w:rsid w:val="00515517"/>
    <w:rsid w:val="00520D38"/>
    <w:rsid w:val="005236DE"/>
    <w:rsid w:val="00526B77"/>
    <w:rsid w:val="00540BB5"/>
    <w:rsid w:val="005420B4"/>
    <w:rsid w:val="00542AAE"/>
    <w:rsid w:val="00542D1B"/>
    <w:rsid w:val="0054464B"/>
    <w:rsid w:val="00552801"/>
    <w:rsid w:val="0056485D"/>
    <w:rsid w:val="00572ACD"/>
    <w:rsid w:val="005A37B7"/>
    <w:rsid w:val="005B3230"/>
    <w:rsid w:val="005C25D2"/>
    <w:rsid w:val="005D5AB1"/>
    <w:rsid w:val="005F358B"/>
    <w:rsid w:val="00602EB5"/>
    <w:rsid w:val="006153A3"/>
    <w:rsid w:val="00615526"/>
    <w:rsid w:val="00621404"/>
    <w:rsid w:val="00621949"/>
    <w:rsid w:val="00621BA8"/>
    <w:rsid w:val="0065691D"/>
    <w:rsid w:val="00691930"/>
    <w:rsid w:val="006950ED"/>
    <w:rsid w:val="006970A4"/>
    <w:rsid w:val="006B6490"/>
    <w:rsid w:val="006C5FC8"/>
    <w:rsid w:val="006D1CBC"/>
    <w:rsid w:val="006E16C4"/>
    <w:rsid w:val="006E503C"/>
    <w:rsid w:val="00701F74"/>
    <w:rsid w:val="00710D83"/>
    <w:rsid w:val="0071731F"/>
    <w:rsid w:val="007173B1"/>
    <w:rsid w:val="00725F67"/>
    <w:rsid w:val="00765EDD"/>
    <w:rsid w:val="0078041D"/>
    <w:rsid w:val="00795117"/>
    <w:rsid w:val="007A2AE8"/>
    <w:rsid w:val="007B4D70"/>
    <w:rsid w:val="007B69E7"/>
    <w:rsid w:val="007C6D53"/>
    <w:rsid w:val="008069D9"/>
    <w:rsid w:val="00822475"/>
    <w:rsid w:val="008A05A1"/>
    <w:rsid w:val="008A40B2"/>
    <w:rsid w:val="008A4567"/>
    <w:rsid w:val="008B1E00"/>
    <w:rsid w:val="008B7E1B"/>
    <w:rsid w:val="008E78B5"/>
    <w:rsid w:val="009038CB"/>
    <w:rsid w:val="00910A4E"/>
    <w:rsid w:val="00913D0E"/>
    <w:rsid w:val="0091732F"/>
    <w:rsid w:val="00921863"/>
    <w:rsid w:val="009262EC"/>
    <w:rsid w:val="00936970"/>
    <w:rsid w:val="00937DEE"/>
    <w:rsid w:val="009550DB"/>
    <w:rsid w:val="00957811"/>
    <w:rsid w:val="0096641D"/>
    <w:rsid w:val="009740D9"/>
    <w:rsid w:val="00977B03"/>
    <w:rsid w:val="00992DF7"/>
    <w:rsid w:val="00994351"/>
    <w:rsid w:val="009B0797"/>
    <w:rsid w:val="009C552C"/>
    <w:rsid w:val="009E08FB"/>
    <w:rsid w:val="009E7060"/>
    <w:rsid w:val="009F4347"/>
    <w:rsid w:val="00A04A1E"/>
    <w:rsid w:val="00A23FBD"/>
    <w:rsid w:val="00A5212F"/>
    <w:rsid w:val="00A543A3"/>
    <w:rsid w:val="00A60292"/>
    <w:rsid w:val="00A62722"/>
    <w:rsid w:val="00A8128D"/>
    <w:rsid w:val="00A83F5C"/>
    <w:rsid w:val="00A9012D"/>
    <w:rsid w:val="00A96ED4"/>
    <w:rsid w:val="00AA2722"/>
    <w:rsid w:val="00AD153D"/>
    <w:rsid w:val="00AE38CC"/>
    <w:rsid w:val="00AF2075"/>
    <w:rsid w:val="00B25957"/>
    <w:rsid w:val="00B2784D"/>
    <w:rsid w:val="00B57371"/>
    <w:rsid w:val="00B734B8"/>
    <w:rsid w:val="00B740EA"/>
    <w:rsid w:val="00B74D12"/>
    <w:rsid w:val="00B759B3"/>
    <w:rsid w:val="00B75C68"/>
    <w:rsid w:val="00B91FF5"/>
    <w:rsid w:val="00BA0FA4"/>
    <w:rsid w:val="00BA6B77"/>
    <w:rsid w:val="00BB2373"/>
    <w:rsid w:val="00BB2928"/>
    <w:rsid w:val="00BC2A74"/>
    <w:rsid w:val="00BD30F2"/>
    <w:rsid w:val="00BE6167"/>
    <w:rsid w:val="00C13BE5"/>
    <w:rsid w:val="00C268D6"/>
    <w:rsid w:val="00C44BCF"/>
    <w:rsid w:val="00C51600"/>
    <w:rsid w:val="00C52456"/>
    <w:rsid w:val="00C52ABC"/>
    <w:rsid w:val="00C54EDD"/>
    <w:rsid w:val="00C57583"/>
    <w:rsid w:val="00C63073"/>
    <w:rsid w:val="00C64A9D"/>
    <w:rsid w:val="00C655F5"/>
    <w:rsid w:val="00C75738"/>
    <w:rsid w:val="00C77AC5"/>
    <w:rsid w:val="00C94348"/>
    <w:rsid w:val="00CA76B7"/>
    <w:rsid w:val="00CB3027"/>
    <w:rsid w:val="00D25000"/>
    <w:rsid w:val="00D546DD"/>
    <w:rsid w:val="00D874BD"/>
    <w:rsid w:val="00D93EF7"/>
    <w:rsid w:val="00DD2334"/>
    <w:rsid w:val="00DD6E88"/>
    <w:rsid w:val="00DE0DB5"/>
    <w:rsid w:val="00E057FA"/>
    <w:rsid w:val="00E12C3C"/>
    <w:rsid w:val="00E26343"/>
    <w:rsid w:val="00E4223F"/>
    <w:rsid w:val="00E4615F"/>
    <w:rsid w:val="00E478F0"/>
    <w:rsid w:val="00E50FD3"/>
    <w:rsid w:val="00E57F5B"/>
    <w:rsid w:val="00E614BD"/>
    <w:rsid w:val="00E709E1"/>
    <w:rsid w:val="00E8572A"/>
    <w:rsid w:val="00E923BB"/>
    <w:rsid w:val="00EB1711"/>
    <w:rsid w:val="00EB384B"/>
    <w:rsid w:val="00EC6588"/>
    <w:rsid w:val="00EE5B6D"/>
    <w:rsid w:val="00EF0740"/>
    <w:rsid w:val="00EF2453"/>
    <w:rsid w:val="00F02282"/>
    <w:rsid w:val="00F04841"/>
    <w:rsid w:val="00F13967"/>
    <w:rsid w:val="00F14E2D"/>
    <w:rsid w:val="00F202F7"/>
    <w:rsid w:val="00F314CB"/>
    <w:rsid w:val="00F35580"/>
    <w:rsid w:val="00F44C21"/>
    <w:rsid w:val="00F508F8"/>
    <w:rsid w:val="00F52E31"/>
    <w:rsid w:val="00F5489A"/>
    <w:rsid w:val="00F55F2B"/>
    <w:rsid w:val="00F80CAE"/>
    <w:rsid w:val="00F81932"/>
    <w:rsid w:val="00F85861"/>
    <w:rsid w:val="00F955CC"/>
    <w:rsid w:val="00FA1D0E"/>
    <w:rsid w:val="00FA4EAC"/>
    <w:rsid w:val="00FD1814"/>
    <w:rsid w:val="00FE60EF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366A0"/>
  <w15:chartTrackingRefBased/>
  <w15:docId w15:val="{A754ED98-8EE1-4E14-BC25-34D9C1A8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C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aliases w:val="h1,H1"/>
    <w:basedOn w:val="Normal"/>
    <w:next w:val="Normal"/>
    <w:link w:val="Heading1Char"/>
    <w:qFormat/>
    <w:rsid w:val="002378AA"/>
    <w:pPr>
      <w:keepNext/>
      <w:outlineLvl w:val="0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link w:val="Heading1"/>
    <w:qFormat/>
    <w:rsid w:val="002378AA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2378AA"/>
    <w:pPr>
      <w:jc w:val="center"/>
    </w:pPr>
    <w:rPr>
      <w:rFonts w:ascii="Arial" w:hAnsi="Arial"/>
      <w:b/>
      <w:bCs/>
      <w:szCs w:val="20"/>
    </w:rPr>
  </w:style>
  <w:style w:type="character" w:customStyle="1" w:styleId="TitleChar">
    <w:name w:val="Title Char"/>
    <w:link w:val="Title"/>
    <w:rsid w:val="002378AA"/>
    <w:rPr>
      <w:rFonts w:ascii="Arial" w:eastAsia="Times New Roman" w:hAnsi="Arial" w:cs="Times New Roman"/>
      <w:b/>
      <w:bCs/>
      <w:sz w:val="24"/>
      <w:szCs w:val="20"/>
      <w:lang w:val="en-AU"/>
    </w:rPr>
  </w:style>
  <w:style w:type="paragraph" w:styleId="Subtitle">
    <w:name w:val="Subtitle"/>
    <w:basedOn w:val="Normal"/>
    <w:link w:val="SubtitleChar"/>
    <w:qFormat/>
    <w:rsid w:val="002378AA"/>
    <w:rPr>
      <w:rFonts w:ascii="Arial" w:hAnsi="Arial"/>
      <w:b/>
      <w:bCs/>
      <w:sz w:val="18"/>
      <w:szCs w:val="20"/>
    </w:rPr>
  </w:style>
  <w:style w:type="character" w:customStyle="1" w:styleId="SubtitleChar">
    <w:name w:val="Subtitle Char"/>
    <w:link w:val="Subtitle"/>
    <w:qFormat/>
    <w:rsid w:val="002378AA"/>
    <w:rPr>
      <w:rFonts w:ascii="Arial" w:eastAsia="Times New Roman" w:hAnsi="Arial" w:cs="Times New Roman"/>
      <w:b/>
      <w:bCs/>
      <w:sz w:val="18"/>
      <w:szCs w:val="20"/>
      <w:lang w:val="en-AU"/>
    </w:rPr>
  </w:style>
  <w:style w:type="paragraph" w:styleId="Header">
    <w:name w:val="header"/>
    <w:basedOn w:val="Normal"/>
    <w:link w:val="HeaderChar"/>
    <w:unhideWhenUsed/>
    <w:rsid w:val="002378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378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8AA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uiPriority w:val="99"/>
    <w:semiHidden/>
    <w:unhideWhenUsed/>
    <w:rsid w:val="00383DD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163A39"/>
    <w:pPr>
      <w:widowControl w:val="0"/>
    </w:pPr>
    <w:rPr>
      <w:rFonts w:eastAsia="DengXian"/>
      <w:sz w:val="22"/>
      <w:szCs w:val="20"/>
    </w:rPr>
  </w:style>
  <w:style w:type="character" w:customStyle="1" w:styleId="BodyTextChar">
    <w:name w:val="Body Text Char"/>
    <w:link w:val="BodyText"/>
    <w:semiHidden/>
    <w:rsid w:val="00163A39"/>
    <w:rPr>
      <w:rFonts w:ascii="Times New Roman" w:eastAsia="DengXian" w:hAnsi="Times New Roman"/>
      <w:sz w:val="22"/>
      <w:lang w:val="en-AU" w:eastAsia="en-US"/>
    </w:rPr>
  </w:style>
  <w:style w:type="paragraph" w:styleId="BodyText2">
    <w:name w:val="Body Text 2"/>
    <w:basedOn w:val="Normal"/>
    <w:link w:val="BodyText2Char"/>
    <w:semiHidden/>
    <w:rsid w:val="00163A39"/>
    <w:pPr>
      <w:widowControl w:val="0"/>
    </w:pPr>
    <w:rPr>
      <w:rFonts w:eastAsia="DengXian"/>
      <w:szCs w:val="20"/>
    </w:rPr>
  </w:style>
  <w:style w:type="character" w:customStyle="1" w:styleId="BodyText2Char">
    <w:name w:val="Body Text 2 Char"/>
    <w:link w:val="BodyText2"/>
    <w:semiHidden/>
    <w:rsid w:val="00163A39"/>
    <w:rPr>
      <w:rFonts w:ascii="Times New Roman" w:eastAsia="DengXian" w:hAnsi="Times New Roman"/>
      <w:sz w:val="24"/>
      <w:lang w:val="en-AU" w:eastAsia="en-US"/>
    </w:rPr>
  </w:style>
  <w:style w:type="paragraph" w:customStyle="1" w:styleId="Default">
    <w:name w:val="Default"/>
    <w:rsid w:val="00F314C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AIN-TITLE">
    <w:name w:val="MAIN-TITLE"/>
    <w:basedOn w:val="Normal"/>
    <w:qFormat/>
    <w:rsid w:val="00126D0B"/>
    <w:pPr>
      <w:snapToGrid w:val="0"/>
      <w:jc w:val="center"/>
    </w:pPr>
    <w:rPr>
      <w:rFonts w:ascii="Arial" w:eastAsia="DengXian" w:hAnsi="Arial" w:cs="Arial"/>
      <w:b/>
      <w:bCs/>
      <w:spacing w:val="8"/>
      <w:lang w:val="en-GB" w:eastAsia="zh-CN"/>
    </w:rPr>
  </w:style>
  <w:style w:type="paragraph" w:customStyle="1" w:styleId="NOTE">
    <w:name w:val="NOTE"/>
    <w:basedOn w:val="Normal"/>
    <w:next w:val="Normal"/>
    <w:link w:val="NOTEChar"/>
    <w:qFormat/>
    <w:rsid w:val="00E478F0"/>
    <w:pPr>
      <w:snapToGrid w:val="0"/>
      <w:spacing w:before="100" w:after="100"/>
      <w:jc w:val="both"/>
    </w:pPr>
    <w:rPr>
      <w:rFonts w:ascii="Arial" w:eastAsia="DengXian" w:hAnsi="Arial" w:cs="Arial"/>
      <w:spacing w:val="8"/>
      <w:sz w:val="16"/>
      <w:szCs w:val="16"/>
      <w:lang w:val="en-GB" w:eastAsia="zh-CN"/>
    </w:rPr>
  </w:style>
  <w:style w:type="paragraph" w:styleId="ListBullet">
    <w:name w:val="List Bullet"/>
    <w:basedOn w:val="Normal"/>
    <w:qFormat/>
    <w:rsid w:val="00E478F0"/>
    <w:pPr>
      <w:numPr>
        <w:numId w:val="6"/>
      </w:numPr>
      <w:snapToGrid w:val="0"/>
      <w:spacing w:after="100"/>
      <w:jc w:val="both"/>
    </w:pPr>
    <w:rPr>
      <w:rFonts w:ascii="Arial" w:eastAsia="DengXi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qFormat/>
    <w:rsid w:val="00913D0E"/>
    <w:pPr>
      <w:snapToGrid w:val="0"/>
      <w:spacing w:after="100"/>
      <w:ind w:left="0" w:firstLine="0"/>
      <w:contextualSpacing w:val="0"/>
      <w:jc w:val="both"/>
    </w:pPr>
    <w:rPr>
      <w:rFonts w:ascii="Arial" w:eastAsiaTheme="minorEastAsia" w:hAnsi="Arial" w:cs="Arial"/>
      <w:spacing w:val="8"/>
      <w:sz w:val="20"/>
      <w:szCs w:val="20"/>
      <w:lang w:val="en-GB" w:eastAsia="zh-CN"/>
    </w:rPr>
  </w:style>
  <w:style w:type="paragraph" w:styleId="List">
    <w:name w:val="List"/>
    <w:basedOn w:val="Normal"/>
    <w:uiPriority w:val="99"/>
    <w:semiHidden/>
    <w:unhideWhenUsed/>
    <w:rsid w:val="00913D0E"/>
    <w:pPr>
      <w:ind w:left="360" w:hanging="360"/>
      <w:contextualSpacing/>
    </w:pPr>
  </w:style>
  <w:style w:type="paragraph" w:styleId="Revision">
    <w:name w:val="Revision"/>
    <w:hidden/>
    <w:uiPriority w:val="99"/>
    <w:semiHidden/>
    <w:rsid w:val="000E6099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6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0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099"/>
    <w:rPr>
      <w:rFonts w:ascii="Times New Roman" w:eastAsia="Times New Roman" w:hAnsi="Times New Roman"/>
      <w:b/>
      <w:bCs/>
      <w:lang w:eastAsia="en-US"/>
    </w:rPr>
  </w:style>
  <w:style w:type="character" w:customStyle="1" w:styleId="PARAGRAPHChar">
    <w:name w:val="PARAGRAPH Char"/>
    <w:basedOn w:val="DefaultParagraphFont"/>
    <w:link w:val="PARAGRAPH"/>
    <w:locked/>
    <w:rsid w:val="00F35580"/>
    <w:rPr>
      <w:rFonts w:ascii="Arial" w:hAnsi="Arial" w:cs="Arial"/>
      <w:spacing w:val="8"/>
    </w:rPr>
  </w:style>
  <w:style w:type="paragraph" w:customStyle="1" w:styleId="PARAGRAPH">
    <w:name w:val="PARAGRAPH"/>
    <w:aliases w:val="PA"/>
    <w:basedOn w:val="Normal"/>
    <w:link w:val="PARAGRAPHChar"/>
    <w:rsid w:val="00F35580"/>
    <w:pPr>
      <w:snapToGrid w:val="0"/>
      <w:spacing w:before="100" w:after="200"/>
      <w:jc w:val="both"/>
    </w:pPr>
    <w:rPr>
      <w:rFonts w:ascii="Arial" w:eastAsia="DengXian" w:hAnsi="Arial" w:cs="Arial"/>
      <w:spacing w:val="8"/>
      <w:sz w:val="20"/>
      <w:szCs w:val="20"/>
      <w:lang w:eastAsia="en-AU"/>
    </w:rPr>
  </w:style>
  <w:style w:type="character" w:customStyle="1" w:styleId="NOTEChar">
    <w:name w:val="NOTE Char"/>
    <w:basedOn w:val="DefaultParagraphFont"/>
    <w:link w:val="NOTE"/>
    <w:locked/>
    <w:rsid w:val="00F35580"/>
    <w:rPr>
      <w:rFonts w:ascii="Arial" w:hAnsi="Arial" w:cs="Arial"/>
      <w:spacing w:val="8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115954-0ccd-45f0-87bd-03b2a3587569}" enabled="0" method="" siteId="{70115954-0ccd-45f0-87bd-03b2a35875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Global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2024-08-01T23:52:00Z</dcterms:created>
  <dcterms:modified xsi:type="dcterms:W3CDTF">2024-08-01T23:52:00Z</dcterms:modified>
</cp:coreProperties>
</file>