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ACB9" w14:textId="77777777" w:rsidR="002C2036" w:rsidRDefault="002C2036" w:rsidP="00F170AE">
      <w:pPr>
        <w:pStyle w:val="PlainText"/>
        <w:rPr>
          <w:rFonts w:ascii="Arial" w:hAnsi="Arial"/>
          <w:b/>
          <w:sz w:val="24"/>
        </w:rPr>
      </w:pPr>
    </w:p>
    <w:p w14:paraId="33F81FAE" w14:textId="77777777" w:rsidR="002C2036" w:rsidRPr="005B1DA0" w:rsidRDefault="002C2036" w:rsidP="002C2036">
      <w:pPr>
        <w:pStyle w:val="PlainText"/>
        <w:jc w:val="left"/>
        <w:rPr>
          <w:rFonts w:ascii="Arial" w:hAnsi="Arial"/>
          <w:b/>
          <w:sz w:val="24"/>
        </w:rPr>
      </w:pPr>
      <w:r w:rsidRPr="005B1DA0">
        <w:rPr>
          <w:rFonts w:ascii="Arial" w:hAnsi="Arial"/>
          <w:b/>
          <w:sz w:val="24"/>
        </w:rPr>
        <w:t>INTERNATIONAL ELECTROTECHNICAL COMMISSION SYSTEM FOR CERTIFICATION TO STANDARDS RELATING TO EQUIPMENT FOR USE IN EXPLOSIVE ATMOSPHERES (IECEx SYSTEM)</w:t>
      </w:r>
    </w:p>
    <w:p w14:paraId="50E43452" w14:textId="77777777" w:rsidR="002C2036" w:rsidRPr="005B1DA0" w:rsidRDefault="002C2036" w:rsidP="00F170AE">
      <w:pPr>
        <w:pStyle w:val="PlainText"/>
        <w:rPr>
          <w:rFonts w:ascii="Arial" w:hAnsi="Arial"/>
          <w:b/>
          <w:sz w:val="24"/>
        </w:rPr>
      </w:pPr>
    </w:p>
    <w:p w14:paraId="5DB80D05" w14:textId="77777777" w:rsidR="001479CB" w:rsidRPr="005B1DA0" w:rsidRDefault="002C2036" w:rsidP="00F57149">
      <w:pPr>
        <w:pStyle w:val="Heading3"/>
        <w:numPr>
          <w:ilvl w:val="0"/>
          <w:numId w:val="0"/>
        </w:numPr>
        <w:spacing w:before="0" w:after="0"/>
        <w:ind w:left="709" w:hanging="709"/>
        <w:rPr>
          <w:bCs w:val="0"/>
          <w:color w:val="000000"/>
          <w:sz w:val="24"/>
          <w:szCs w:val="24"/>
          <w:lang w:val="en-US"/>
        </w:rPr>
      </w:pPr>
      <w:r w:rsidRPr="005B1DA0">
        <w:rPr>
          <w:sz w:val="24"/>
          <w:szCs w:val="24"/>
        </w:rPr>
        <w:t xml:space="preserve">Title: </w:t>
      </w:r>
      <w:r w:rsidR="00A1462C" w:rsidRPr="005B1DA0">
        <w:rPr>
          <w:sz w:val="24"/>
          <w:szCs w:val="24"/>
        </w:rPr>
        <w:t xml:space="preserve">Report from </w:t>
      </w:r>
      <w:r w:rsidR="005B1DA0" w:rsidRPr="005B1DA0">
        <w:rPr>
          <w:sz w:val="24"/>
          <w:szCs w:val="24"/>
        </w:rPr>
        <w:t>D</w:t>
      </w:r>
      <w:r w:rsidR="00A1462C" w:rsidRPr="005B1DA0">
        <w:rPr>
          <w:sz w:val="24"/>
          <w:szCs w:val="24"/>
        </w:rPr>
        <w:t xml:space="preserve">r </w:t>
      </w:r>
      <w:r w:rsidR="005B1DA0" w:rsidRPr="005B1DA0">
        <w:rPr>
          <w:sz w:val="24"/>
          <w:szCs w:val="24"/>
        </w:rPr>
        <w:t>Martin Thedens</w:t>
      </w:r>
      <w:r w:rsidR="001479CB" w:rsidRPr="005B1DA0">
        <w:rPr>
          <w:sz w:val="24"/>
          <w:szCs w:val="24"/>
        </w:rPr>
        <w:t xml:space="preserve">, Chair of </w:t>
      </w:r>
      <w:r w:rsidR="005B1DA0" w:rsidRPr="005B1DA0">
        <w:rPr>
          <w:sz w:val="24"/>
          <w:szCs w:val="24"/>
        </w:rPr>
        <w:t xml:space="preserve">the </w:t>
      </w:r>
      <w:r w:rsidR="001479CB" w:rsidRPr="005B1DA0">
        <w:rPr>
          <w:sz w:val="24"/>
          <w:szCs w:val="24"/>
        </w:rPr>
        <w:t xml:space="preserve">IEC Technical Committee 31- </w:t>
      </w:r>
      <w:r w:rsidR="001479CB" w:rsidRPr="005B1DA0">
        <w:rPr>
          <w:bCs w:val="0"/>
          <w:kern w:val="36"/>
          <w:sz w:val="22"/>
          <w:szCs w:val="22"/>
        </w:rPr>
        <w:t>EQUIPMENT FOR EXPLOSIVE ATMOSPHERES</w:t>
      </w:r>
    </w:p>
    <w:p w14:paraId="78D873D8" w14:textId="77777777" w:rsidR="002C2036" w:rsidRPr="005B1DA0" w:rsidRDefault="002C2036" w:rsidP="002C2036">
      <w:pPr>
        <w:pStyle w:val="BodyText"/>
        <w:ind w:left="-240"/>
      </w:pPr>
    </w:p>
    <w:p w14:paraId="22E12F6A" w14:textId="77777777" w:rsidR="002C2036" w:rsidRPr="005B1DA0" w:rsidRDefault="002C2036" w:rsidP="002C2036">
      <w:pPr>
        <w:pStyle w:val="Heading8"/>
        <w:numPr>
          <w:ilvl w:val="0"/>
          <w:numId w:val="0"/>
        </w:numPr>
        <w:rPr>
          <w:sz w:val="24"/>
          <w:szCs w:val="24"/>
        </w:rPr>
      </w:pPr>
      <w:r w:rsidRPr="005B1DA0">
        <w:rPr>
          <w:sz w:val="24"/>
          <w:szCs w:val="24"/>
        </w:rPr>
        <w:t xml:space="preserve">To: Members of the IECEx Management Committee, </w:t>
      </w:r>
      <w:proofErr w:type="spellStart"/>
      <w:r w:rsidRPr="005B1DA0">
        <w:rPr>
          <w:sz w:val="24"/>
          <w:szCs w:val="24"/>
        </w:rPr>
        <w:t>ExMC</w:t>
      </w:r>
      <w:proofErr w:type="spellEnd"/>
      <w:r w:rsidRPr="005B1DA0">
        <w:rPr>
          <w:sz w:val="24"/>
          <w:szCs w:val="24"/>
        </w:rPr>
        <w:t xml:space="preserve"> </w:t>
      </w:r>
    </w:p>
    <w:p w14:paraId="33E4B86B" w14:textId="77777777" w:rsidR="002C2036" w:rsidRPr="005B1DA0" w:rsidRDefault="002C2036" w:rsidP="002C2036"/>
    <w:p w14:paraId="6883C293" w14:textId="77777777" w:rsidR="002C2036" w:rsidRPr="005B1DA0" w:rsidRDefault="002C2036" w:rsidP="00F170AE">
      <w:pPr>
        <w:pStyle w:val="PlainText"/>
        <w:rPr>
          <w:rFonts w:ascii="Arial" w:hAnsi="Arial"/>
          <w:b/>
          <w:sz w:val="24"/>
        </w:rPr>
      </w:pPr>
    </w:p>
    <w:p w14:paraId="21CC7C36" w14:textId="77777777" w:rsidR="002C2036" w:rsidRPr="005B1DA0" w:rsidRDefault="002C2036" w:rsidP="002C2036">
      <w:pPr>
        <w:pStyle w:val="PlainText"/>
        <w:pBdr>
          <w:top w:val="thinThickSmallGap" w:sz="24" w:space="1" w:color="0000FF"/>
        </w:pBdr>
        <w:rPr>
          <w:rFonts w:ascii="Arial" w:hAnsi="Arial"/>
          <w:b/>
          <w:sz w:val="24"/>
        </w:rPr>
      </w:pPr>
    </w:p>
    <w:p w14:paraId="3CC5F24B" w14:textId="77777777" w:rsidR="002C2036" w:rsidRPr="005B1DA0" w:rsidRDefault="002C2036" w:rsidP="00F170AE">
      <w:pPr>
        <w:pStyle w:val="PlainText"/>
        <w:rPr>
          <w:rFonts w:ascii="Arial" w:hAnsi="Arial"/>
          <w:b/>
          <w:sz w:val="24"/>
        </w:rPr>
      </w:pPr>
    </w:p>
    <w:p w14:paraId="10ECF673" w14:textId="77777777" w:rsidR="002C2036" w:rsidRPr="005B1DA0" w:rsidRDefault="002C2036" w:rsidP="002C2036">
      <w:pPr>
        <w:pStyle w:val="PlainText"/>
        <w:jc w:val="center"/>
        <w:rPr>
          <w:rFonts w:ascii="Arial" w:hAnsi="Arial"/>
          <w:b/>
          <w:sz w:val="24"/>
        </w:rPr>
      </w:pPr>
      <w:r w:rsidRPr="005B1DA0">
        <w:rPr>
          <w:rFonts w:ascii="Arial" w:hAnsi="Arial"/>
          <w:b/>
          <w:sz w:val="24"/>
        </w:rPr>
        <w:t>INTRODUCTION</w:t>
      </w:r>
    </w:p>
    <w:p w14:paraId="6DB74D07" w14:textId="77777777" w:rsidR="002C2036" w:rsidRPr="005B1DA0" w:rsidRDefault="002C2036" w:rsidP="00F170AE">
      <w:pPr>
        <w:pStyle w:val="PlainText"/>
        <w:rPr>
          <w:rFonts w:ascii="Arial" w:hAnsi="Arial"/>
          <w:b/>
          <w:sz w:val="24"/>
        </w:rPr>
      </w:pPr>
    </w:p>
    <w:p w14:paraId="2C12E8AD" w14:textId="0BA22FDE" w:rsidR="002C2036" w:rsidRPr="005B1DA0" w:rsidRDefault="002C2036" w:rsidP="00B0322A">
      <w:pPr>
        <w:pStyle w:val="PlainText"/>
        <w:jc w:val="left"/>
        <w:rPr>
          <w:rFonts w:ascii="Arial" w:hAnsi="Arial"/>
          <w:sz w:val="24"/>
        </w:rPr>
      </w:pPr>
      <w:r w:rsidRPr="005B1DA0">
        <w:rPr>
          <w:rFonts w:ascii="Arial" w:hAnsi="Arial"/>
          <w:sz w:val="24"/>
        </w:rPr>
        <w:t xml:space="preserve">This document contains a report from the </w:t>
      </w:r>
      <w:r w:rsidR="001479CB" w:rsidRPr="005B1DA0">
        <w:rPr>
          <w:rFonts w:ascii="Arial" w:hAnsi="Arial"/>
          <w:sz w:val="24"/>
        </w:rPr>
        <w:t>IEC Technical Committee 31- EQUIPMENT FOR EXPLOSIVE ATMOSPHERES Chair</w:t>
      </w:r>
      <w:r w:rsidRPr="005B1DA0">
        <w:rPr>
          <w:rFonts w:ascii="Arial" w:hAnsi="Arial"/>
          <w:sz w:val="24"/>
        </w:rPr>
        <w:t xml:space="preserve">, </w:t>
      </w:r>
      <w:r w:rsidR="005B1DA0" w:rsidRPr="005B1DA0">
        <w:rPr>
          <w:rFonts w:ascii="Arial" w:hAnsi="Arial"/>
          <w:sz w:val="24"/>
        </w:rPr>
        <w:t>D</w:t>
      </w:r>
      <w:r w:rsidRPr="005B1DA0">
        <w:rPr>
          <w:rFonts w:ascii="Arial" w:hAnsi="Arial"/>
          <w:sz w:val="24"/>
        </w:rPr>
        <w:t xml:space="preserve">r </w:t>
      </w:r>
      <w:r w:rsidR="00F57149" w:rsidRPr="005B1DA0">
        <w:rPr>
          <w:rFonts w:ascii="Arial" w:hAnsi="Arial"/>
          <w:sz w:val="24"/>
        </w:rPr>
        <w:t>Mar</w:t>
      </w:r>
      <w:r w:rsidR="005B1DA0" w:rsidRPr="005B1DA0">
        <w:rPr>
          <w:rFonts w:ascii="Arial" w:hAnsi="Arial"/>
          <w:sz w:val="24"/>
        </w:rPr>
        <w:t>tin Thedens</w:t>
      </w:r>
      <w:r w:rsidR="00287355" w:rsidRPr="005B1DA0">
        <w:rPr>
          <w:rFonts w:ascii="Arial" w:hAnsi="Arial"/>
          <w:sz w:val="24"/>
        </w:rPr>
        <w:t>,</w:t>
      </w:r>
      <w:r w:rsidRPr="005B1DA0">
        <w:rPr>
          <w:rFonts w:ascii="Arial" w:hAnsi="Arial"/>
          <w:sz w:val="24"/>
        </w:rPr>
        <w:t xml:space="preserve"> </w:t>
      </w:r>
      <w:r w:rsidR="00287355" w:rsidRPr="005B1DA0">
        <w:rPr>
          <w:rFonts w:ascii="Arial" w:hAnsi="Arial"/>
          <w:sz w:val="24"/>
        </w:rPr>
        <w:t xml:space="preserve">to the </w:t>
      </w:r>
      <w:r w:rsidR="000C243E" w:rsidRPr="005B1DA0">
        <w:rPr>
          <w:rFonts w:ascii="Arial" w:hAnsi="Arial"/>
          <w:sz w:val="24"/>
        </w:rPr>
        <w:t>20</w:t>
      </w:r>
      <w:r w:rsidR="005B1DA0" w:rsidRPr="005B1DA0">
        <w:rPr>
          <w:rFonts w:ascii="Arial" w:hAnsi="Arial"/>
          <w:sz w:val="24"/>
        </w:rPr>
        <w:t>2</w:t>
      </w:r>
      <w:r w:rsidR="00100F6B">
        <w:rPr>
          <w:rFonts w:ascii="Arial" w:hAnsi="Arial"/>
          <w:sz w:val="24"/>
        </w:rPr>
        <w:t>2</w:t>
      </w:r>
      <w:r w:rsidR="000C243E" w:rsidRPr="005B1DA0">
        <w:rPr>
          <w:rFonts w:ascii="Arial" w:hAnsi="Arial"/>
          <w:sz w:val="24"/>
        </w:rPr>
        <w:t xml:space="preserve"> </w:t>
      </w:r>
      <w:proofErr w:type="spellStart"/>
      <w:r w:rsidRPr="005B1DA0">
        <w:rPr>
          <w:rFonts w:ascii="Arial" w:hAnsi="Arial"/>
          <w:sz w:val="24"/>
        </w:rPr>
        <w:t>ExMC</w:t>
      </w:r>
      <w:proofErr w:type="spellEnd"/>
      <w:r w:rsidRPr="005B1DA0">
        <w:rPr>
          <w:rFonts w:ascii="Arial" w:hAnsi="Arial"/>
          <w:sz w:val="24"/>
        </w:rPr>
        <w:t xml:space="preserve"> meeting</w:t>
      </w:r>
      <w:r w:rsidR="00F57149" w:rsidRPr="005B1DA0">
        <w:rPr>
          <w:rFonts w:ascii="Arial" w:hAnsi="Arial"/>
          <w:sz w:val="24"/>
        </w:rPr>
        <w:t>.</w:t>
      </w:r>
    </w:p>
    <w:p w14:paraId="6C74F44F" w14:textId="77777777" w:rsidR="002C2036" w:rsidRPr="005B1DA0" w:rsidRDefault="002C2036" w:rsidP="002C2036">
      <w:pPr>
        <w:pStyle w:val="PlainText"/>
        <w:jc w:val="left"/>
        <w:rPr>
          <w:rFonts w:ascii="Arial" w:hAnsi="Arial"/>
          <w:sz w:val="24"/>
        </w:rPr>
      </w:pPr>
    </w:p>
    <w:p w14:paraId="5DCD7521" w14:textId="77777777" w:rsidR="0018007B" w:rsidRPr="005B1DA0" w:rsidRDefault="0018007B" w:rsidP="002C2036">
      <w:pPr>
        <w:pStyle w:val="PlainText"/>
        <w:jc w:val="left"/>
        <w:rPr>
          <w:rFonts w:ascii="Arial" w:hAnsi="Arial"/>
          <w:sz w:val="24"/>
        </w:rPr>
      </w:pPr>
    </w:p>
    <w:p w14:paraId="2E136BB3" w14:textId="77777777" w:rsidR="0018007B" w:rsidRPr="005B1DA0" w:rsidRDefault="0018007B" w:rsidP="002C2036">
      <w:pPr>
        <w:pStyle w:val="PlainText"/>
        <w:jc w:val="left"/>
        <w:rPr>
          <w:rFonts w:ascii="Arial" w:hAnsi="Arial"/>
          <w:sz w:val="24"/>
        </w:rPr>
      </w:pPr>
    </w:p>
    <w:p w14:paraId="3A177D68" w14:textId="77777777" w:rsidR="0018007B" w:rsidRPr="005B1DA0" w:rsidRDefault="0018007B" w:rsidP="002C2036">
      <w:pPr>
        <w:pStyle w:val="PlainText"/>
        <w:jc w:val="left"/>
        <w:rPr>
          <w:rFonts w:ascii="Arial" w:hAnsi="Arial"/>
          <w:sz w:val="24"/>
        </w:rPr>
      </w:pPr>
    </w:p>
    <w:p w14:paraId="3232CE48" w14:textId="77777777" w:rsidR="0018007B" w:rsidRPr="005B1DA0" w:rsidRDefault="0018007B" w:rsidP="002C2036">
      <w:pPr>
        <w:pStyle w:val="PlainText"/>
        <w:jc w:val="left"/>
        <w:rPr>
          <w:rFonts w:ascii="Arial" w:hAnsi="Arial"/>
          <w:sz w:val="24"/>
        </w:rPr>
      </w:pPr>
    </w:p>
    <w:p w14:paraId="62206F47" w14:textId="77777777" w:rsidR="0018007B" w:rsidRPr="005B1DA0" w:rsidRDefault="0018007B" w:rsidP="002C2036">
      <w:pPr>
        <w:pStyle w:val="PlainText"/>
        <w:jc w:val="left"/>
        <w:rPr>
          <w:rFonts w:ascii="Arial" w:hAnsi="Arial"/>
          <w:sz w:val="24"/>
        </w:rPr>
      </w:pPr>
    </w:p>
    <w:p w14:paraId="1159EFCE" w14:textId="77777777" w:rsidR="0018007B" w:rsidRPr="005B1DA0" w:rsidRDefault="0018007B" w:rsidP="002C2036">
      <w:pPr>
        <w:pStyle w:val="PlainText"/>
        <w:jc w:val="left"/>
        <w:rPr>
          <w:rFonts w:ascii="Arial" w:hAnsi="Arial"/>
          <w:sz w:val="24"/>
        </w:rPr>
      </w:pPr>
    </w:p>
    <w:p w14:paraId="126EF1E0" w14:textId="6EC23E6E" w:rsidR="003D6D35" w:rsidRDefault="003D6D35" w:rsidP="00953349">
      <w:pPr>
        <w:rPr>
          <w:b/>
          <w:bCs/>
          <w:sz w:val="24"/>
          <w:szCs w:val="24"/>
        </w:rPr>
      </w:pPr>
    </w:p>
    <w:p w14:paraId="2CE1EEAF" w14:textId="728E78A0" w:rsidR="003D6D35" w:rsidRDefault="003D6D35" w:rsidP="00953349">
      <w:pPr>
        <w:rPr>
          <w:b/>
          <w:bCs/>
          <w:sz w:val="24"/>
          <w:szCs w:val="24"/>
        </w:rPr>
      </w:pPr>
    </w:p>
    <w:p w14:paraId="5EB69626" w14:textId="1DAB0BBE" w:rsidR="003D6D35" w:rsidRDefault="003D6D35" w:rsidP="00953349">
      <w:pPr>
        <w:rPr>
          <w:b/>
          <w:bCs/>
          <w:sz w:val="24"/>
          <w:szCs w:val="24"/>
        </w:rPr>
      </w:pPr>
    </w:p>
    <w:p w14:paraId="45EE4CFE" w14:textId="620C855D" w:rsidR="003D6D35" w:rsidRDefault="003D6D35" w:rsidP="00953349">
      <w:pPr>
        <w:rPr>
          <w:b/>
          <w:bCs/>
          <w:sz w:val="24"/>
          <w:szCs w:val="24"/>
        </w:rPr>
      </w:pPr>
    </w:p>
    <w:p w14:paraId="15651981" w14:textId="62901FBC" w:rsidR="003D6D35" w:rsidRDefault="003D6D35" w:rsidP="00953349">
      <w:pPr>
        <w:rPr>
          <w:b/>
          <w:bCs/>
          <w:sz w:val="24"/>
          <w:szCs w:val="24"/>
        </w:rPr>
      </w:pPr>
    </w:p>
    <w:p w14:paraId="4E1E6023" w14:textId="7E5B0DAE" w:rsidR="003D6D35" w:rsidRDefault="003D6D35" w:rsidP="00953349">
      <w:pPr>
        <w:rPr>
          <w:b/>
          <w:bCs/>
          <w:sz w:val="24"/>
          <w:szCs w:val="24"/>
        </w:rPr>
      </w:pPr>
    </w:p>
    <w:p w14:paraId="0628CCCB" w14:textId="66452F88" w:rsidR="003D6D35" w:rsidRDefault="003D6D35" w:rsidP="00953349">
      <w:pPr>
        <w:rPr>
          <w:b/>
          <w:bCs/>
          <w:sz w:val="24"/>
          <w:szCs w:val="24"/>
        </w:rPr>
      </w:pPr>
    </w:p>
    <w:p w14:paraId="073D5F8F" w14:textId="77777777" w:rsidR="003D6D35" w:rsidRDefault="003D6D35" w:rsidP="00953349">
      <w:pPr>
        <w:rPr>
          <w:b/>
          <w:bCs/>
          <w:sz w:val="24"/>
          <w:szCs w:val="24"/>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3D6D35" w:rsidRPr="00E41A4B" w14:paraId="09512DE2" w14:textId="77777777" w:rsidTr="006A2374">
        <w:tc>
          <w:tcPr>
            <w:tcW w:w="4470" w:type="dxa"/>
            <w:shd w:val="clear" w:color="auto" w:fill="auto"/>
          </w:tcPr>
          <w:p w14:paraId="3DEDDF00" w14:textId="77777777" w:rsidR="003D6D35" w:rsidRDefault="003D6D35" w:rsidP="006A2374">
            <w:pPr>
              <w:snapToGrid w:val="0"/>
              <w:rPr>
                <w:b/>
                <w:bCs/>
                <w:sz w:val="22"/>
                <w:szCs w:val="22"/>
              </w:rPr>
            </w:pPr>
            <w:r w:rsidRPr="00E41A4B">
              <w:rPr>
                <w:b/>
                <w:bCs/>
                <w:sz w:val="22"/>
                <w:szCs w:val="22"/>
              </w:rPr>
              <w:t>Address:</w:t>
            </w:r>
          </w:p>
          <w:p w14:paraId="6990E740" w14:textId="77777777" w:rsidR="003D6D35" w:rsidRPr="00E41A4B" w:rsidRDefault="003D6D35" w:rsidP="006A2374">
            <w:pPr>
              <w:snapToGrid w:val="0"/>
              <w:rPr>
                <w:b/>
                <w:bCs/>
                <w:sz w:val="22"/>
                <w:szCs w:val="22"/>
              </w:rPr>
            </w:pPr>
            <w:r>
              <w:rPr>
                <w:b/>
                <w:bCs/>
                <w:sz w:val="22"/>
                <w:szCs w:val="22"/>
              </w:rPr>
              <w:t>IECEx Secretariat</w:t>
            </w:r>
          </w:p>
          <w:p w14:paraId="770483CC" w14:textId="77777777" w:rsidR="003D6D35" w:rsidRPr="00E41A4B" w:rsidRDefault="003D6D35" w:rsidP="006A2374">
            <w:pPr>
              <w:snapToGrid w:val="0"/>
              <w:rPr>
                <w:b/>
                <w:bCs/>
                <w:sz w:val="22"/>
                <w:szCs w:val="22"/>
              </w:rPr>
            </w:pPr>
            <w:r w:rsidRPr="00E41A4B">
              <w:rPr>
                <w:b/>
                <w:bCs/>
                <w:sz w:val="22"/>
                <w:szCs w:val="22"/>
              </w:rPr>
              <w:t>Level 33, Australia Square</w:t>
            </w:r>
          </w:p>
          <w:p w14:paraId="03412B7D" w14:textId="77777777" w:rsidR="003D6D35" w:rsidRPr="00E41A4B" w:rsidRDefault="003D6D35" w:rsidP="006A2374">
            <w:pPr>
              <w:snapToGrid w:val="0"/>
              <w:rPr>
                <w:b/>
                <w:bCs/>
                <w:sz w:val="22"/>
                <w:szCs w:val="22"/>
              </w:rPr>
            </w:pPr>
            <w:r w:rsidRPr="00E41A4B">
              <w:rPr>
                <w:b/>
                <w:bCs/>
                <w:sz w:val="22"/>
                <w:szCs w:val="22"/>
              </w:rPr>
              <w:t>264 George Street</w:t>
            </w:r>
          </w:p>
          <w:p w14:paraId="762E0FFB" w14:textId="77777777" w:rsidR="003D6D35" w:rsidRPr="00E41A4B" w:rsidRDefault="003D6D35" w:rsidP="006A2374">
            <w:pPr>
              <w:snapToGrid w:val="0"/>
              <w:rPr>
                <w:b/>
                <w:bCs/>
                <w:sz w:val="22"/>
                <w:szCs w:val="22"/>
              </w:rPr>
            </w:pPr>
            <w:r w:rsidRPr="00E41A4B">
              <w:rPr>
                <w:b/>
                <w:bCs/>
                <w:sz w:val="22"/>
                <w:szCs w:val="22"/>
              </w:rPr>
              <w:t>Sydney NSW 2000</w:t>
            </w:r>
          </w:p>
          <w:p w14:paraId="60280B84" w14:textId="77777777" w:rsidR="003D6D35" w:rsidRPr="00E41A4B" w:rsidRDefault="003D6D35" w:rsidP="006A2374">
            <w:pPr>
              <w:snapToGrid w:val="0"/>
              <w:rPr>
                <w:b/>
                <w:bCs/>
                <w:sz w:val="22"/>
                <w:szCs w:val="22"/>
              </w:rPr>
            </w:pPr>
            <w:r w:rsidRPr="00E41A4B">
              <w:rPr>
                <w:b/>
                <w:bCs/>
                <w:sz w:val="22"/>
                <w:szCs w:val="22"/>
              </w:rPr>
              <w:t>Australia</w:t>
            </w:r>
          </w:p>
        </w:tc>
        <w:tc>
          <w:tcPr>
            <w:tcW w:w="4579" w:type="dxa"/>
            <w:shd w:val="clear" w:color="auto" w:fill="auto"/>
          </w:tcPr>
          <w:p w14:paraId="7B4EB71E" w14:textId="77777777" w:rsidR="003D6D35" w:rsidRPr="00E41A4B" w:rsidRDefault="003D6D35" w:rsidP="006A2374">
            <w:pPr>
              <w:snapToGrid w:val="0"/>
              <w:rPr>
                <w:b/>
                <w:bCs/>
                <w:sz w:val="22"/>
                <w:szCs w:val="22"/>
              </w:rPr>
            </w:pPr>
            <w:r w:rsidRPr="00E41A4B">
              <w:rPr>
                <w:b/>
                <w:bCs/>
                <w:sz w:val="22"/>
                <w:szCs w:val="22"/>
              </w:rPr>
              <w:t>Contact Details:</w:t>
            </w:r>
          </w:p>
          <w:p w14:paraId="15D3F6E2" w14:textId="77777777" w:rsidR="003D6D35" w:rsidRPr="00E41A4B" w:rsidRDefault="003D6D35" w:rsidP="006A2374">
            <w:pPr>
              <w:snapToGrid w:val="0"/>
              <w:rPr>
                <w:b/>
                <w:bCs/>
                <w:sz w:val="22"/>
                <w:szCs w:val="22"/>
              </w:rPr>
            </w:pPr>
            <w:r w:rsidRPr="00E41A4B">
              <w:rPr>
                <w:b/>
                <w:bCs/>
                <w:sz w:val="22"/>
                <w:szCs w:val="22"/>
              </w:rPr>
              <w:t>Tel: +61 2 4628 4690</w:t>
            </w:r>
          </w:p>
          <w:p w14:paraId="7FB2EEAD" w14:textId="77777777" w:rsidR="003D6D35" w:rsidRPr="00E41A4B" w:rsidRDefault="003D6D35" w:rsidP="006A2374">
            <w:pPr>
              <w:snapToGrid w:val="0"/>
              <w:rPr>
                <w:b/>
                <w:bCs/>
                <w:sz w:val="22"/>
                <w:szCs w:val="22"/>
              </w:rPr>
            </w:pPr>
            <w:r w:rsidRPr="00E41A4B">
              <w:rPr>
                <w:b/>
                <w:bCs/>
                <w:sz w:val="22"/>
                <w:szCs w:val="22"/>
              </w:rPr>
              <w:t>Fax: +61 2 4627 5285</w:t>
            </w:r>
          </w:p>
          <w:p w14:paraId="0E7B53FE" w14:textId="77777777" w:rsidR="003D6D35" w:rsidRPr="00E41A4B" w:rsidRDefault="003D6D35" w:rsidP="006A2374">
            <w:pPr>
              <w:snapToGrid w:val="0"/>
              <w:rPr>
                <w:b/>
                <w:bCs/>
                <w:sz w:val="22"/>
                <w:szCs w:val="22"/>
              </w:rPr>
            </w:pPr>
            <w:r w:rsidRPr="00E41A4B">
              <w:rPr>
                <w:b/>
                <w:bCs/>
                <w:sz w:val="22"/>
                <w:szCs w:val="22"/>
              </w:rPr>
              <w:t>e-mail:</w:t>
            </w:r>
            <w:r>
              <w:rPr>
                <w:b/>
                <w:bCs/>
                <w:sz w:val="22"/>
                <w:szCs w:val="22"/>
              </w:rPr>
              <w:t xml:space="preserve"> </w:t>
            </w:r>
            <w:hyperlink r:id="rId7" w:history="1">
              <w:r w:rsidRPr="0033615D">
                <w:rPr>
                  <w:rStyle w:val="Hyperlink"/>
                  <w:b/>
                  <w:bCs/>
                  <w:sz w:val="22"/>
                  <w:szCs w:val="22"/>
                </w:rPr>
                <w:t>info@iecex.com</w:t>
              </w:r>
            </w:hyperlink>
            <w:r>
              <w:rPr>
                <w:b/>
                <w:bCs/>
                <w:sz w:val="22"/>
                <w:szCs w:val="22"/>
              </w:rPr>
              <w:t xml:space="preserve">  </w:t>
            </w:r>
          </w:p>
          <w:p w14:paraId="2C51F58A" w14:textId="77777777" w:rsidR="003D6D35" w:rsidRPr="00E41A4B" w:rsidRDefault="005B3BF4" w:rsidP="006A2374">
            <w:pPr>
              <w:snapToGrid w:val="0"/>
              <w:rPr>
                <w:b/>
                <w:bCs/>
                <w:sz w:val="22"/>
                <w:szCs w:val="22"/>
              </w:rPr>
            </w:pPr>
            <w:hyperlink r:id="rId8" w:history="1">
              <w:r w:rsidR="003D6D35" w:rsidRPr="00E41A4B">
                <w:rPr>
                  <w:b/>
                  <w:bCs/>
                  <w:color w:val="0000FF"/>
                  <w:sz w:val="22"/>
                  <w:szCs w:val="22"/>
                  <w:u w:val="single"/>
                </w:rPr>
                <w:t>http://www.iecex.com</w:t>
              </w:r>
            </w:hyperlink>
          </w:p>
          <w:p w14:paraId="5F4586CC" w14:textId="77777777" w:rsidR="003D6D35" w:rsidRPr="00E41A4B" w:rsidRDefault="003D6D35" w:rsidP="006A2374">
            <w:pPr>
              <w:snapToGrid w:val="0"/>
              <w:rPr>
                <w:b/>
                <w:bCs/>
                <w:sz w:val="22"/>
                <w:szCs w:val="22"/>
              </w:rPr>
            </w:pPr>
          </w:p>
        </w:tc>
      </w:tr>
    </w:tbl>
    <w:p w14:paraId="0778BCC1" w14:textId="77777777" w:rsidR="003D6D35" w:rsidRPr="005B1DA0" w:rsidRDefault="003D6D35" w:rsidP="00953349">
      <w:pPr>
        <w:rPr>
          <w:b/>
          <w:bCs/>
          <w:sz w:val="24"/>
          <w:szCs w:val="24"/>
        </w:rPr>
      </w:pPr>
    </w:p>
    <w:p w14:paraId="30C21371" w14:textId="77777777" w:rsidR="00953349" w:rsidRPr="005B1DA0" w:rsidRDefault="00953349" w:rsidP="00953349">
      <w:pPr>
        <w:autoSpaceDE w:val="0"/>
        <w:autoSpaceDN w:val="0"/>
        <w:adjustRightInd w:val="0"/>
        <w:rPr>
          <w:rFonts w:ascii="Times New Roman" w:hAnsi="Times New Roman"/>
          <w:b/>
          <w:bCs/>
          <w:color w:val="0000FF"/>
          <w:sz w:val="24"/>
          <w:lang w:val="en-US"/>
        </w:rPr>
      </w:pPr>
    </w:p>
    <w:p w14:paraId="2070960B" w14:textId="77777777" w:rsidR="00953349" w:rsidRPr="005B1DA0" w:rsidRDefault="00953349" w:rsidP="00953349">
      <w:pPr>
        <w:pStyle w:val="PlainText"/>
        <w:jc w:val="left"/>
        <w:rPr>
          <w:rFonts w:ascii="Arial" w:hAnsi="Arial"/>
          <w:sz w:val="24"/>
        </w:rPr>
      </w:pPr>
    </w:p>
    <w:p w14:paraId="5A1D7B3C" w14:textId="77777777" w:rsidR="001479CB" w:rsidRPr="002C04FF" w:rsidRDefault="00953349" w:rsidP="001479CB">
      <w:pPr>
        <w:spacing w:before="120" w:after="120"/>
        <w:jc w:val="left"/>
        <w:rPr>
          <w:b/>
          <w:sz w:val="24"/>
          <w:szCs w:val="24"/>
        </w:rPr>
      </w:pPr>
      <w:r w:rsidRPr="005B1DA0">
        <w:rPr>
          <w:sz w:val="24"/>
        </w:rPr>
        <w:br w:type="page"/>
      </w:r>
      <w:r w:rsidR="001479CB" w:rsidRPr="002C04FF">
        <w:rPr>
          <w:b/>
          <w:sz w:val="24"/>
          <w:szCs w:val="24"/>
        </w:rPr>
        <w:lastRenderedPageBreak/>
        <w:t>INTERNATIONAL ELECTROTECHNICAL COMMISSION</w:t>
      </w:r>
    </w:p>
    <w:p w14:paraId="380D89A2" w14:textId="77777777" w:rsidR="001479CB" w:rsidRPr="002C04FF" w:rsidRDefault="001479CB" w:rsidP="001479CB">
      <w:pPr>
        <w:spacing w:before="120" w:after="120"/>
        <w:jc w:val="left"/>
        <w:rPr>
          <w:b/>
          <w:sz w:val="24"/>
          <w:szCs w:val="24"/>
        </w:rPr>
      </w:pPr>
      <w:r w:rsidRPr="002C04FF">
        <w:rPr>
          <w:b/>
          <w:sz w:val="24"/>
          <w:szCs w:val="24"/>
        </w:rPr>
        <w:t xml:space="preserve">TECHNICAL COMMITTEE 31: </w:t>
      </w:r>
      <w:r w:rsidRPr="002C04FF">
        <w:rPr>
          <w:b/>
          <w:bCs/>
          <w:kern w:val="36"/>
          <w:sz w:val="24"/>
          <w:szCs w:val="24"/>
        </w:rPr>
        <w:t>EQUIPMENT FOR EXPLOSIVE ATMOSPHERES</w:t>
      </w:r>
    </w:p>
    <w:p w14:paraId="7A65E7B6" w14:textId="77777777" w:rsidR="001479CB" w:rsidRPr="002C04FF" w:rsidRDefault="001479CB" w:rsidP="001479CB">
      <w:pPr>
        <w:spacing w:after="120"/>
        <w:rPr>
          <w:b/>
          <w:bCs/>
          <w:kern w:val="36"/>
          <w:sz w:val="24"/>
          <w:szCs w:val="24"/>
        </w:rPr>
      </w:pPr>
    </w:p>
    <w:p w14:paraId="3277257B" w14:textId="3D3720F4" w:rsidR="00447492" w:rsidRPr="002C04FF" w:rsidRDefault="00447492" w:rsidP="00447492">
      <w:pPr>
        <w:spacing w:after="120"/>
        <w:rPr>
          <w:b/>
          <w:bCs/>
          <w:kern w:val="36"/>
          <w:sz w:val="24"/>
          <w:szCs w:val="24"/>
          <w:lang w:val="en-AU"/>
        </w:rPr>
      </w:pPr>
      <w:r w:rsidRPr="002C04FF">
        <w:rPr>
          <w:b/>
          <w:bCs/>
          <w:kern w:val="36"/>
          <w:sz w:val="24"/>
          <w:szCs w:val="24"/>
          <w:lang w:val="en-AU"/>
        </w:rPr>
        <w:t xml:space="preserve">Report from </w:t>
      </w:r>
      <w:r w:rsidR="00F60CA3" w:rsidRPr="002C04FF">
        <w:rPr>
          <w:b/>
          <w:bCs/>
          <w:kern w:val="36"/>
          <w:sz w:val="24"/>
          <w:szCs w:val="24"/>
          <w:lang w:val="en-AU"/>
        </w:rPr>
        <w:t xml:space="preserve">IEC </w:t>
      </w:r>
      <w:r w:rsidRPr="002C04FF">
        <w:rPr>
          <w:b/>
          <w:bCs/>
          <w:kern w:val="36"/>
          <w:sz w:val="24"/>
          <w:szCs w:val="24"/>
          <w:lang w:val="en-AU"/>
        </w:rPr>
        <w:t xml:space="preserve">TC 31 to IECEx </w:t>
      </w:r>
      <w:proofErr w:type="spellStart"/>
      <w:r w:rsidRPr="002C04FF">
        <w:rPr>
          <w:b/>
          <w:bCs/>
          <w:kern w:val="36"/>
          <w:sz w:val="24"/>
          <w:szCs w:val="24"/>
          <w:lang w:val="en-AU"/>
        </w:rPr>
        <w:t>ExMC</w:t>
      </w:r>
      <w:proofErr w:type="spellEnd"/>
      <w:r w:rsidRPr="002C04FF">
        <w:rPr>
          <w:b/>
          <w:bCs/>
          <w:kern w:val="36"/>
          <w:sz w:val="24"/>
          <w:szCs w:val="24"/>
          <w:lang w:val="en-AU"/>
        </w:rPr>
        <w:t xml:space="preserve"> Meeting</w:t>
      </w:r>
      <w:r w:rsidR="005B1DA0" w:rsidRPr="002C04FF">
        <w:rPr>
          <w:b/>
          <w:bCs/>
          <w:kern w:val="36"/>
          <w:sz w:val="24"/>
          <w:szCs w:val="24"/>
          <w:lang w:val="en-AU"/>
        </w:rPr>
        <w:t xml:space="preserve"> 202</w:t>
      </w:r>
      <w:r w:rsidR="00100F6B">
        <w:rPr>
          <w:b/>
          <w:bCs/>
          <w:kern w:val="36"/>
          <w:sz w:val="24"/>
          <w:szCs w:val="24"/>
          <w:lang w:val="en-AU"/>
        </w:rPr>
        <w:t>2</w:t>
      </w:r>
    </w:p>
    <w:p w14:paraId="1FE5BCF9" w14:textId="77777777" w:rsidR="001479CB" w:rsidRPr="002C04FF" w:rsidRDefault="001479CB" w:rsidP="001479CB">
      <w:pPr>
        <w:rPr>
          <w:sz w:val="24"/>
          <w:szCs w:val="24"/>
          <w:lang w:val="en-AU"/>
        </w:rPr>
      </w:pPr>
    </w:p>
    <w:p w14:paraId="4B8F5567" w14:textId="77777777" w:rsidR="00987A51" w:rsidRDefault="00987A51" w:rsidP="00987A51">
      <w:pPr>
        <w:rPr>
          <w:b/>
          <w:sz w:val="24"/>
          <w:szCs w:val="24"/>
          <w:lang w:val="en-AU"/>
        </w:rPr>
      </w:pPr>
      <w:r w:rsidRPr="002C04FF">
        <w:rPr>
          <w:b/>
          <w:sz w:val="24"/>
          <w:szCs w:val="24"/>
          <w:lang w:val="en-AU"/>
        </w:rPr>
        <w:t>Introduction</w:t>
      </w:r>
    </w:p>
    <w:p w14:paraId="54CC2C0E" w14:textId="77777777" w:rsidR="00870803" w:rsidRPr="002C04FF" w:rsidRDefault="00870803" w:rsidP="00987A51">
      <w:pPr>
        <w:rPr>
          <w:b/>
          <w:sz w:val="24"/>
          <w:szCs w:val="24"/>
          <w:lang w:val="en-AU"/>
        </w:rPr>
      </w:pPr>
    </w:p>
    <w:p w14:paraId="37C2F48C" w14:textId="2B891FB6" w:rsidR="00F40126" w:rsidRPr="00100F6B" w:rsidRDefault="00F40126" w:rsidP="00F40126">
      <w:pPr>
        <w:jc w:val="left"/>
        <w:rPr>
          <w:sz w:val="24"/>
          <w:szCs w:val="24"/>
          <w:lang w:val="en-AU"/>
        </w:rPr>
      </w:pPr>
      <w:r w:rsidRPr="00100F6B">
        <w:rPr>
          <w:sz w:val="24"/>
          <w:szCs w:val="24"/>
          <w:lang w:val="en-AU"/>
        </w:rPr>
        <w:t xml:space="preserve">This report covers the activities of IEC TC 31 since the last meeting of IECEx </w:t>
      </w:r>
      <w:proofErr w:type="spellStart"/>
      <w:r w:rsidRPr="00100F6B">
        <w:rPr>
          <w:sz w:val="24"/>
          <w:szCs w:val="24"/>
          <w:lang w:val="en-AU"/>
        </w:rPr>
        <w:t>ExMC</w:t>
      </w:r>
      <w:proofErr w:type="spellEnd"/>
      <w:r w:rsidRPr="00100F6B">
        <w:rPr>
          <w:sz w:val="24"/>
          <w:szCs w:val="24"/>
          <w:lang w:val="en-AU"/>
        </w:rPr>
        <w:t xml:space="preserve"> in </w:t>
      </w:r>
      <w:r w:rsidR="005B1DA0" w:rsidRPr="00100F6B">
        <w:rPr>
          <w:sz w:val="24"/>
          <w:szCs w:val="24"/>
          <w:lang w:val="en-AU"/>
        </w:rPr>
        <w:t>September</w:t>
      </w:r>
      <w:r w:rsidRPr="00100F6B">
        <w:rPr>
          <w:sz w:val="24"/>
          <w:szCs w:val="24"/>
          <w:lang w:val="en-AU"/>
        </w:rPr>
        <w:t xml:space="preserve"> 20</w:t>
      </w:r>
      <w:r w:rsidR="00DB41AC" w:rsidRPr="00100F6B">
        <w:rPr>
          <w:sz w:val="24"/>
          <w:szCs w:val="24"/>
          <w:lang w:val="en-AU"/>
        </w:rPr>
        <w:t>2</w:t>
      </w:r>
      <w:r w:rsidR="00100F6B">
        <w:rPr>
          <w:sz w:val="24"/>
          <w:szCs w:val="24"/>
          <w:lang w:val="en-AU"/>
        </w:rPr>
        <w:t>1</w:t>
      </w:r>
      <w:r w:rsidRPr="00100F6B">
        <w:rPr>
          <w:sz w:val="24"/>
          <w:szCs w:val="24"/>
          <w:lang w:val="en-AU"/>
        </w:rPr>
        <w:t xml:space="preserve">. </w:t>
      </w:r>
    </w:p>
    <w:p w14:paraId="4D2C6212" w14:textId="77777777" w:rsidR="001479CB" w:rsidRPr="00100F6B" w:rsidRDefault="001479CB" w:rsidP="001479CB">
      <w:pPr>
        <w:rPr>
          <w:sz w:val="24"/>
          <w:szCs w:val="24"/>
          <w:lang w:val="en-AU"/>
        </w:rPr>
      </w:pPr>
    </w:p>
    <w:p w14:paraId="3ABB23C2" w14:textId="77777777" w:rsidR="001479CB" w:rsidRPr="00100F6B" w:rsidRDefault="001479CB" w:rsidP="001479CB">
      <w:pPr>
        <w:rPr>
          <w:b/>
          <w:sz w:val="24"/>
          <w:szCs w:val="24"/>
          <w:lang w:val="en-AU"/>
        </w:rPr>
      </w:pPr>
      <w:r w:rsidRPr="00100F6B">
        <w:rPr>
          <w:b/>
          <w:sz w:val="24"/>
          <w:szCs w:val="24"/>
          <w:lang w:val="en-AU"/>
        </w:rPr>
        <w:t xml:space="preserve">Activities during the </w:t>
      </w:r>
      <w:r w:rsidR="00522695" w:rsidRPr="00100F6B">
        <w:rPr>
          <w:b/>
          <w:sz w:val="24"/>
          <w:szCs w:val="24"/>
          <w:lang w:val="en-AU"/>
        </w:rPr>
        <w:t>p</w:t>
      </w:r>
      <w:r w:rsidRPr="00100F6B">
        <w:rPr>
          <w:b/>
          <w:sz w:val="24"/>
          <w:szCs w:val="24"/>
          <w:lang w:val="en-AU"/>
        </w:rPr>
        <w:t xml:space="preserve">ast </w:t>
      </w:r>
      <w:r w:rsidR="00522695" w:rsidRPr="00100F6B">
        <w:rPr>
          <w:b/>
          <w:sz w:val="24"/>
          <w:szCs w:val="24"/>
          <w:lang w:val="en-AU"/>
        </w:rPr>
        <w:t>y</w:t>
      </w:r>
      <w:r w:rsidRPr="00100F6B">
        <w:rPr>
          <w:b/>
          <w:sz w:val="24"/>
          <w:szCs w:val="24"/>
          <w:lang w:val="en-AU"/>
        </w:rPr>
        <w:t>ear</w:t>
      </w:r>
    </w:p>
    <w:p w14:paraId="38578D70" w14:textId="77777777" w:rsidR="00870803" w:rsidRPr="00100F6B" w:rsidRDefault="00870803" w:rsidP="001479CB">
      <w:pPr>
        <w:rPr>
          <w:b/>
          <w:sz w:val="24"/>
          <w:szCs w:val="24"/>
          <w:lang w:val="en-AU"/>
        </w:rPr>
      </w:pPr>
    </w:p>
    <w:p w14:paraId="47ED7472" w14:textId="791755AC" w:rsidR="00937001" w:rsidRDefault="00B61397" w:rsidP="00A840DA">
      <w:pPr>
        <w:jc w:val="left"/>
        <w:rPr>
          <w:sz w:val="24"/>
          <w:szCs w:val="24"/>
          <w:lang w:val="en-AU"/>
        </w:rPr>
      </w:pPr>
      <w:r>
        <w:rPr>
          <w:sz w:val="24"/>
          <w:szCs w:val="24"/>
          <w:lang w:val="en-AU"/>
        </w:rPr>
        <w:t xml:space="preserve">The last plenary meeting of TC 31 was a virtual meeting in October 2021 followed by </w:t>
      </w:r>
      <w:r w:rsidR="00CD1E4C">
        <w:rPr>
          <w:sz w:val="24"/>
          <w:szCs w:val="24"/>
          <w:lang w:val="en-AU"/>
        </w:rPr>
        <w:t>a</w:t>
      </w:r>
      <w:r>
        <w:rPr>
          <w:sz w:val="24"/>
          <w:szCs w:val="24"/>
          <w:lang w:val="en-AU"/>
        </w:rPr>
        <w:t xml:space="preserve"> hybrid meeting of the </w:t>
      </w:r>
      <w:r w:rsidRPr="00B61397">
        <w:rPr>
          <w:sz w:val="24"/>
          <w:szCs w:val="24"/>
          <w:lang w:val="en-AU"/>
        </w:rPr>
        <w:t>Chair’s Advisory Group (CAG)</w:t>
      </w:r>
      <w:r>
        <w:rPr>
          <w:sz w:val="24"/>
          <w:szCs w:val="24"/>
          <w:lang w:val="en-AU"/>
        </w:rPr>
        <w:t xml:space="preserve"> in May 2022</w:t>
      </w:r>
      <w:r w:rsidR="00CD1E4C">
        <w:rPr>
          <w:sz w:val="24"/>
          <w:szCs w:val="24"/>
          <w:lang w:val="en-AU"/>
        </w:rPr>
        <w:t xml:space="preserve"> at BSI in London (UK) together with other meetings of several </w:t>
      </w:r>
      <w:r w:rsidR="00937001" w:rsidRPr="00100F6B">
        <w:rPr>
          <w:sz w:val="24"/>
          <w:szCs w:val="24"/>
          <w:lang w:val="en-AU"/>
        </w:rPr>
        <w:t>Working Groups, Maintenance Teams, Project Teams</w:t>
      </w:r>
      <w:r w:rsidR="002B1A1D" w:rsidRPr="00100F6B">
        <w:rPr>
          <w:sz w:val="24"/>
          <w:szCs w:val="24"/>
          <w:lang w:val="en-AU"/>
        </w:rPr>
        <w:t xml:space="preserve"> etc.</w:t>
      </w:r>
    </w:p>
    <w:p w14:paraId="0F3E90FD" w14:textId="6E4CE3CB" w:rsidR="00CD1E4C" w:rsidRDefault="00CD1E4C" w:rsidP="00A840DA">
      <w:pPr>
        <w:jc w:val="left"/>
        <w:rPr>
          <w:sz w:val="24"/>
          <w:szCs w:val="24"/>
          <w:lang w:val="en-AU"/>
        </w:rPr>
      </w:pPr>
    </w:p>
    <w:p w14:paraId="16CBD131" w14:textId="44B1571E" w:rsidR="00CD1E4C" w:rsidRDefault="00CD1E4C" w:rsidP="00A840DA">
      <w:pPr>
        <w:jc w:val="left"/>
        <w:rPr>
          <w:sz w:val="24"/>
          <w:szCs w:val="24"/>
          <w:lang w:val="en-AU"/>
        </w:rPr>
      </w:pPr>
      <w:bookmarkStart w:id="0" w:name="_Hlk112942037"/>
      <w:r>
        <w:rPr>
          <w:sz w:val="24"/>
          <w:szCs w:val="24"/>
          <w:lang w:val="en-AU"/>
        </w:rPr>
        <w:t xml:space="preserve">The following decisions </w:t>
      </w:r>
      <w:r w:rsidR="007C52FD">
        <w:rPr>
          <w:sz w:val="24"/>
          <w:szCs w:val="24"/>
          <w:lang w:val="en-AU"/>
        </w:rPr>
        <w:t xml:space="preserve">of the TC 31 plenary </w:t>
      </w:r>
      <w:r>
        <w:rPr>
          <w:sz w:val="24"/>
          <w:szCs w:val="24"/>
          <w:lang w:val="en-AU"/>
        </w:rPr>
        <w:t>are of interest to IECEx:</w:t>
      </w:r>
    </w:p>
    <w:p w14:paraId="3969EC28" w14:textId="35F7C729" w:rsidR="00CD1E4C" w:rsidRDefault="00CD1E4C" w:rsidP="001C5022">
      <w:pPr>
        <w:pStyle w:val="ListParagraph"/>
        <w:numPr>
          <w:ilvl w:val="0"/>
          <w:numId w:val="24"/>
        </w:numPr>
        <w:jc w:val="left"/>
        <w:rPr>
          <w:sz w:val="24"/>
          <w:szCs w:val="24"/>
          <w:lang w:val="en-AU"/>
        </w:rPr>
      </w:pPr>
      <w:r>
        <w:rPr>
          <w:sz w:val="24"/>
          <w:szCs w:val="24"/>
          <w:lang w:val="en-AU"/>
        </w:rPr>
        <w:t xml:space="preserve">DECISION 5: </w:t>
      </w:r>
      <w:r w:rsidR="007C52FD">
        <w:rPr>
          <w:sz w:val="24"/>
          <w:szCs w:val="24"/>
          <w:lang w:val="en-AU"/>
        </w:rPr>
        <w:br/>
      </w:r>
      <w:r w:rsidRPr="00CD1E4C">
        <w:rPr>
          <w:sz w:val="24"/>
          <w:szCs w:val="24"/>
          <w:lang w:val="en-AU"/>
        </w:rPr>
        <w:t xml:space="preserve">TC 31 recommends that each </w:t>
      </w:r>
      <w:proofErr w:type="gramStart"/>
      <w:r w:rsidRPr="00CD1E4C">
        <w:rPr>
          <w:sz w:val="24"/>
          <w:szCs w:val="24"/>
          <w:lang w:val="en-AU"/>
        </w:rPr>
        <w:t>Ex Equipment</w:t>
      </w:r>
      <w:proofErr w:type="gramEnd"/>
      <w:r w:rsidRPr="00CD1E4C">
        <w:rPr>
          <w:sz w:val="24"/>
          <w:szCs w:val="24"/>
          <w:lang w:val="en-AU"/>
        </w:rPr>
        <w:t xml:space="preserve"> document define the option (associated with a Specific Condition of Use) and the requirements for conveying the limitations to the party that must address the limitations. Each Specific Condition of Use must require that the manufacturer provide clear and practical guidance for mitigating the risk of ignition.</w:t>
      </w:r>
      <w:r w:rsidRPr="00CD1E4C">
        <w:rPr>
          <w:sz w:val="24"/>
          <w:szCs w:val="24"/>
          <w:lang w:val="en-AU"/>
        </w:rPr>
        <w:br/>
        <w:t>ACTION: Add this recommendation to the TC 31 Good Working Practice.</w:t>
      </w:r>
    </w:p>
    <w:bookmarkEnd w:id="0"/>
    <w:p w14:paraId="7568BFB1" w14:textId="7DA05186" w:rsidR="00CD1E4C" w:rsidRDefault="00CD1E4C" w:rsidP="001C5022">
      <w:pPr>
        <w:pStyle w:val="ListParagraph"/>
        <w:numPr>
          <w:ilvl w:val="0"/>
          <w:numId w:val="24"/>
        </w:numPr>
        <w:jc w:val="left"/>
        <w:rPr>
          <w:sz w:val="24"/>
          <w:szCs w:val="24"/>
          <w:lang w:val="en-AU"/>
        </w:rPr>
      </w:pPr>
      <w:r>
        <w:rPr>
          <w:sz w:val="24"/>
          <w:szCs w:val="24"/>
          <w:lang w:val="en-AU"/>
        </w:rPr>
        <w:t xml:space="preserve">DECISION 6: </w:t>
      </w:r>
      <w:r w:rsidR="007C52FD">
        <w:rPr>
          <w:sz w:val="24"/>
          <w:szCs w:val="24"/>
          <w:lang w:val="en-AU"/>
        </w:rPr>
        <w:br/>
      </w:r>
      <w:r w:rsidRPr="00CD1E4C">
        <w:rPr>
          <w:sz w:val="24"/>
          <w:szCs w:val="24"/>
          <w:lang w:val="en-AU"/>
        </w:rPr>
        <w:t>TC 31 recommends that WG 22 consider the recommendation from AG 55 and include wording in IEC 60079-0 which prohibits Specific Conditions of Use that restate the requirements for installation design, selection, erection, inspection, maintenance, repair, and overhaul of the IEC 60079 and 80079 series standards.</w:t>
      </w:r>
    </w:p>
    <w:p w14:paraId="61B50AD7" w14:textId="0A647586" w:rsidR="00CD1E4C" w:rsidRDefault="00CD1E4C" w:rsidP="001C5022">
      <w:pPr>
        <w:pStyle w:val="ListParagraph"/>
        <w:numPr>
          <w:ilvl w:val="0"/>
          <w:numId w:val="24"/>
        </w:numPr>
        <w:jc w:val="left"/>
        <w:rPr>
          <w:sz w:val="24"/>
          <w:szCs w:val="24"/>
          <w:lang w:val="en-AU"/>
        </w:rPr>
      </w:pPr>
      <w:r>
        <w:rPr>
          <w:sz w:val="24"/>
          <w:szCs w:val="24"/>
          <w:lang w:val="en-AU"/>
        </w:rPr>
        <w:t xml:space="preserve">DECISION 8: </w:t>
      </w:r>
      <w:r w:rsidR="007C52FD">
        <w:rPr>
          <w:sz w:val="24"/>
          <w:szCs w:val="24"/>
          <w:lang w:val="en-AU"/>
        </w:rPr>
        <w:br/>
      </w:r>
      <w:r w:rsidRPr="00CD1E4C">
        <w:rPr>
          <w:sz w:val="24"/>
          <w:szCs w:val="24"/>
          <w:lang w:val="en-AU"/>
        </w:rPr>
        <w:t>TC 31 decides to establish an ahG to review the different dielectric strength and insulation resistance tests in 60079-5, 60079-7, 60079-11, 60079-15, and 60079-18 and recommend text for the TC 31 GWP.</w:t>
      </w:r>
    </w:p>
    <w:p w14:paraId="3A92F9BA" w14:textId="4AFD4243" w:rsidR="007C52FD" w:rsidRDefault="007C52FD" w:rsidP="001C5022">
      <w:pPr>
        <w:pStyle w:val="ListParagraph"/>
        <w:numPr>
          <w:ilvl w:val="0"/>
          <w:numId w:val="24"/>
        </w:numPr>
        <w:jc w:val="left"/>
        <w:rPr>
          <w:sz w:val="24"/>
          <w:szCs w:val="24"/>
          <w:lang w:val="en-AU"/>
        </w:rPr>
      </w:pPr>
      <w:r>
        <w:rPr>
          <w:sz w:val="24"/>
          <w:szCs w:val="24"/>
          <w:lang w:val="en-AU"/>
        </w:rPr>
        <w:t xml:space="preserve">DECISION 16: </w:t>
      </w:r>
      <w:r>
        <w:rPr>
          <w:sz w:val="24"/>
          <w:szCs w:val="24"/>
          <w:lang w:val="en-AU"/>
        </w:rPr>
        <w:br/>
      </w:r>
      <w:r w:rsidRPr="007C52FD">
        <w:rPr>
          <w:sz w:val="24"/>
          <w:szCs w:val="24"/>
          <w:lang w:val="en-AU"/>
        </w:rPr>
        <w:t>TC 31 supports the recommendation of the TC 31 CAG and decides to establish an ahG to review alignment of sealing concepts in IEC 60079-1, IEC 60079-2, IEC 60079-26, and IEC TS 60079-40.</w:t>
      </w:r>
    </w:p>
    <w:p w14:paraId="6ED5D630" w14:textId="70E3E119" w:rsidR="007C52FD" w:rsidRDefault="007C52FD" w:rsidP="001C5022">
      <w:pPr>
        <w:pStyle w:val="ListParagraph"/>
        <w:numPr>
          <w:ilvl w:val="0"/>
          <w:numId w:val="24"/>
        </w:numPr>
        <w:jc w:val="left"/>
        <w:rPr>
          <w:sz w:val="24"/>
          <w:szCs w:val="24"/>
          <w:lang w:val="en-AU"/>
        </w:rPr>
      </w:pPr>
      <w:r>
        <w:rPr>
          <w:sz w:val="24"/>
          <w:szCs w:val="24"/>
          <w:lang w:val="en-AU"/>
        </w:rPr>
        <w:t xml:space="preserve">DECISION 18: </w:t>
      </w:r>
      <w:r>
        <w:rPr>
          <w:sz w:val="24"/>
          <w:szCs w:val="24"/>
          <w:lang w:val="en-AU"/>
        </w:rPr>
        <w:br/>
      </w:r>
      <w:r w:rsidRPr="007C52FD">
        <w:rPr>
          <w:sz w:val="24"/>
          <w:szCs w:val="24"/>
          <w:lang w:val="en-AU"/>
        </w:rPr>
        <w:t>TC 31 decides to circulate a Q document asking NCs if the draft of IEC TS 60079-44 (31/1573/CD) satisfies the intent of the new work item proposal (31/1304/NP), and whether it should proceed in this form.</w:t>
      </w:r>
    </w:p>
    <w:p w14:paraId="7BEDB797" w14:textId="733A2709" w:rsidR="007C52FD" w:rsidRDefault="007C52FD" w:rsidP="00C94060">
      <w:pPr>
        <w:pStyle w:val="ListParagraph"/>
        <w:numPr>
          <w:ilvl w:val="0"/>
          <w:numId w:val="24"/>
        </w:numPr>
        <w:jc w:val="left"/>
        <w:rPr>
          <w:sz w:val="24"/>
          <w:szCs w:val="24"/>
          <w:lang w:val="en-AU"/>
        </w:rPr>
      </w:pPr>
      <w:r w:rsidRPr="007C52FD">
        <w:rPr>
          <w:sz w:val="24"/>
          <w:szCs w:val="24"/>
          <w:lang w:val="en-AU"/>
        </w:rPr>
        <w:t>DECISION 19 and 20:</w:t>
      </w:r>
      <w:r w:rsidRPr="007C52FD">
        <w:rPr>
          <w:sz w:val="24"/>
          <w:szCs w:val="24"/>
          <w:lang w:val="en-AU"/>
        </w:rPr>
        <w:br/>
        <w:t>TC 31 supports the recommendations of the TC 31 CAG to create a “general requirements document” as IEC 60079-29-0 for detection and measurement of flammable, toxic, and oxygen gases.</w:t>
      </w:r>
      <w:r w:rsidRPr="007C52FD">
        <w:rPr>
          <w:sz w:val="24"/>
          <w:szCs w:val="24"/>
          <w:lang w:val="en-AU"/>
        </w:rPr>
        <w:br/>
      </w:r>
      <w:r w:rsidRPr="007C52FD">
        <w:rPr>
          <w:sz w:val="24"/>
          <w:szCs w:val="24"/>
          <w:lang w:val="en-AU"/>
        </w:rPr>
        <w:lastRenderedPageBreak/>
        <w:t>This document could also incorporate the performance requirements for different detectors as annexes.</w:t>
      </w:r>
      <w:r>
        <w:rPr>
          <w:sz w:val="24"/>
          <w:szCs w:val="24"/>
          <w:lang w:val="en-AU"/>
        </w:rPr>
        <w:br/>
      </w:r>
      <w:r w:rsidRPr="007C52FD">
        <w:rPr>
          <w:sz w:val="24"/>
          <w:szCs w:val="24"/>
          <w:lang w:val="en-AU"/>
        </w:rPr>
        <w:t>TC 31 supports the recommendation of the TC 31 CAG to include requirements for the safety monitor aspects of oxygen and toxic gas detectors within the IEC 60079-29 series. Health monitor aspects should remain within the IEC 62990 series.</w:t>
      </w:r>
    </w:p>
    <w:p w14:paraId="13B3E5C1" w14:textId="043E4F4F" w:rsidR="007C52FD" w:rsidRPr="007C52FD" w:rsidRDefault="007C52FD" w:rsidP="00287209">
      <w:pPr>
        <w:pStyle w:val="ListParagraph"/>
        <w:numPr>
          <w:ilvl w:val="0"/>
          <w:numId w:val="24"/>
        </w:numPr>
        <w:jc w:val="left"/>
        <w:rPr>
          <w:sz w:val="24"/>
          <w:szCs w:val="24"/>
          <w:lang w:val="en-AU"/>
        </w:rPr>
      </w:pPr>
      <w:r w:rsidRPr="007C52FD">
        <w:rPr>
          <w:sz w:val="24"/>
          <w:szCs w:val="24"/>
          <w:lang w:val="en-AU"/>
        </w:rPr>
        <w:t>DECISION23:</w:t>
      </w:r>
      <w:r w:rsidRPr="007C52FD">
        <w:rPr>
          <w:sz w:val="24"/>
          <w:szCs w:val="24"/>
          <w:lang w:val="en-AU"/>
        </w:rPr>
        <w:br/>
        <w:t>TC 31 recommends that the next edition of IEC 60079-0 should promote higher ambient temperature requirements due to the impact of climate change.</w:t>
      </w:r>
      <w:r w:rsidRPr="007C52FD">
        <w:rPr>
          <w:sz w:val="24"/>
          <w:szCs w:val="24"/>
          <w:lang w:val="en-AU"/>
        </w:rPr>
        <w:br/>
        <w:t>TC 31 recommends that the ambient temperature range should always be identified and that the option to not identify the ambient temperature range for -20°C to +40°C be removed.</w:t>
      </w:r>
    </w:p>
    <w:p w14:paraId="222AC470" w14:textId="77777777" w:rsidR="007C52FD" w:rsidRDefault="007C52FD" w:rsidP="007C52FD">
      <w:pPr>
        <w:jc w:val="left"/>
        <w:rPr>
          <w:sz w:val="24"/>
          <w:szCs w:val="24"/>
          <w:lang w:val="en-AU"/>
        </w:rPr>
      </w:pPr>
    </w:p>
    <w:p w14:paraId="5EBCEB09" w14:textId="6B071CF9" w:rsidR="007C52FD" w:rsidRDefault="007C52FD" w:rsidP="007C52FD">
      <w:pPr>
        <w:jc w:val="left"/>
        <w:rPr>
          <w:sz w:val="24"/>
          <w:szCs w:val="24"/>
          <w:lang w:val="en-AU"/>
        </w:rPr>
      </w:pPr>
      <w:r>
        <w:rPr>
          <w:sz w:val="24"/>
          <w:szCs w:val="24"/>
          <w:lang w:val="en-AU"/>
        </w:rPr>
        <w:t>The following resolutions of the TC 31 CAG are of interest to IECEx:</w:t>
      </w:r>
    </w:p>
    <w:p w14:paraId="1091B3FB" w14:textId="3AEEE7C7" w:rsidR="007C52FD" w:rsidRDefault="007C52FD" w:rsidP="007C52FD">
      <w:pPr>
        <w:pStyle w:val="ListParagraph"/>
        <w:numPr>
          <w:ilvl w:val="0"/>
          <w:numId w:val="26"/>
        </w:numPr>
        <w:jc w:val="left"/>
        <w:rPr>
          <w:sz w:val="24"/>
          <w:szCs w:val="24"/>
          <w:lang w:val="en-AU"/>
        </w:rPr>
      </w:pPr>
      <w:r>
        <w:rPr>
          <w:sz w:val="24"/>
          <w:szCs w:val="24"/>
          <w:lang w:val="en-AU"/>
        </w:rPr>
        <w:t xml:space="preserve">RESOLUTION 4: </w:t>
      </w:r>
      <w:r>
        <w:rPr>
          <w:sz w:val="24"/>
          <w:szCs w:val="24"/>
          <w:lang w:val="en-AU"/>
        </w:rPr>
        <w:br/>
      </w:r>
      <w:r w:rsidRPr="007C52FD">
        <w:rPr>
          <w:sz w:val="24"/>
          <w:szCs w:val="24"/>
          <w:lang w:val="en-AU"/>
        </w:rPr>
        <w:t>The TC 31 CAG thanks Mark Coppler</w:t>
      </w:r>
      <w:r>
        <w:rPr>
          <w:sz w:val="24"/>
          <w:szCs w:val="24"/>
          <w:lang w:val="en-AU"/>
        </w:rPr>
        <w:t xml:space="preserve"> (USA)</w:t>
      </w:r>
      <w:r w:rsidRPr="007C52FD">
        <w:rPr>
          <w:sz w:val="24"/>
          <w:szCs w:val="24"/>
          <w:lang w:val="en-AU"/>
        </w:rPr>
        <w:t xml:space="preserve"> for his exemplary service as TC 31 Chair, convenor of WG 32, IECEx liaison and his numerous other roles. We wish him all the best for the future.</w:t>
      </w:r>
    </w:p>
    <w:p w14:paraId="7A3E9914" w14:textId="18271D78" w:rsidR="007C52FD" w:rsidRPr="007C52FD" w:rsidRDefault="007C52FD" w:rsidP="007C52FD">
      <w:pPr>
        <w:pStyle w:val="ListParagraph"/>
        <w:numPr>
          <w:ilvl w:val="0"/>
          <w:numId w:val="26"/>
        </w:numPr>
        <w:jc w:val="left"/>
        <w:rPr>
          <w:sz w:val="24"/>
          <w:szCs w:val="24"/>
          <w:lang w:val="en-AU"/>
        </w:rPr>
      </w:pPr>
      <w:r>
        <w:rPr>
          <w:sz w:val="24"/>
          <w:szCs w:val="24"/>
          <w:lang w:val="en-AU"/>
        </w:rPr>
        <w:t>RESOLUTION 7:</w:t>
      </w:r>
      <w:r>
        <w:rPr>
          <w:sz w:val="24"/>
          <w:szCs w:val="24"/>
          <w:lang w:val="en-AU"/>
        </w:rPr>
        <w:br/>
      </w:r>
      <w:r w:rsidRPr="007C52FD">
        <w:rPr>
          <w:sz w:val="24"/>
          <w:szCs w:val="24"/>
          <w:lang w:val="en-AU"/>
        </w:rPr>
        <w:t>The TC 31 CAG recommends that requirements and guidance in IEC TS 60079-44 be limited to only those aspects of competence and competence management which are unique to work in (or associated with) explosive atmospheres. This is to ensure that the document remains within the scope of TC 31 and its subcommittees and does not cause conflict with ISO.</w:t>
      </w:r>
      <w:r>
        <w:rPr>
          <w:sz w:val="24"/>
          <w:szCs w:val="24"/>
          <w:lang w:val="en-AU"/>
        </w:rPr>
        <w:br/>
      </w:r>
      <w:r w:rsidRPr="00AE5F39">
        <w:rPr>
          <w:sz w:val="24"/>
          <w:szCs w:val="24"/>
          <w:lang w:val="en-US"/>
        </w:rPr>
        <w:t>The document should be fit-for-purpose to use in conformity assessment schemes and achieve a level of safety not less than that established by IECEx OD 504.</w:t>
      </w:r>
    </w:p>
    <w:p w14:paraId="2FA2391F" w14:textId="0588F70E" w:rsidR="007C52FD" w:rsidRDefault="007C52FD" w:rsidP="007C52FD">
      <w:pPr>
        <w:pStyle w:val="ListParagraph"/>
        <w:numPr>
          <w:ilvl w:val="0"/>
          <w:numId w:val="26"/>
        </w:numPr>
        <w:jc w:val="left"/>
        <w:rPr>
          <w:sz w:val="24"/>
          <w:szCs w:val="24"/>
          <w:lang w:val="en-AU"/>
        </w:rPr>
      </w:pPr>
      <w:r>
        <w:rPr>
          <w:sz w:val="24"/>
          <w:szCs w:val="24"/>
          <w:lang w:val="en-AU"/>
        </w:rPr>
        <w:t>RESOLUTION 9:</w:t>
      </w:r>
      <w:r>
        <w:rPr>
          <w:sz w:val="24"/>
          <w:szCs w:val="24"/>
          <w:lang w:val="en-AU"/>
        </w:rPr>
        <w:br/>
      </w:r>
      <w:r w:rsidRPr="007C52FD">
        <w:rPr>
          <w:sz w:val="24"/>
          <w:szCs w:val="24"/>
          <w:lang w:val="en-AU"/>
        </w:rPr>
        <w:t>The TC 31 CAG supports the recommendation from AG 55 to remove, from IEC 60079-0, the option to include Specific Conditions of Use in the documentation without the “X” marking. Note that this has been actioned in the CD of IEC 60079-0.</w:t>
      </w:r>
    </w:p>
    <w:p w14:paraId="727A9067" w14:textId="6139DD49" w:rsidR="007C52FD" w:rsidRDefault="007C52FD" w:rsidP="00BE1A7D">
      <w:pPr>
        <w:pStyle w:val="ListParagraph"/>
        <w:numPr>
          <w:ilvl w:val="0"/>
          <w:numId w:val="26"/>
        </w:numPr>
        <w:jc w:val="left"/>
        <w:rPr>
          <w:sz w:val="24"/>
          <w:szCs w:val="24"/>
          <w:lang w:val="en-AU"/>
        </w:rPr>
      </w:pPr>
      <w:r w:rsidRPr="007C52FD">
        <w:rPr>
          <w:sz w:val="24"/>
          <w:szCs w:val="24"/>
          <w:lang w:val="en-AU"/>
        </w:rPr>
        <w:t>RESOLUTION 12:</w:t>
      </w:r>
      <w:r w:rsidRPr="007C52FD">
        <w:rPr>
          <w:sz w:val="24"/>
          <w:szCs w:val="24"/>
          <w:lang w:val="en-AU"/>
        </w:rPr>
        <w:br/>
        <w:t xml:space="preserve">The TC 31 CAG supports the recommendation from MT 60079-7 and MT 60079-14 to establish an </w:t>
      </w:r>
      <w:proofErr w:type="spellStart"/>
      <w:r w:rsidRPr="007C52FD">
        <w:rPr>
          <w:sz w:val="24"/>
          <w:szCs w:val="24"/>
          <w:lang w:val="en-AU"/>
        </w:rPr>
        <w:t>ahG</w:t>
      </w:r>
      <w:proofErr w:type="spellEnd"/>
      <w:r w:rsidRPr="007C52FD">
        <w:rPr>
          <w:sz w:val="24"/>
          <w:szCs w:val="24"/>
          <w:lang w:val="en-AU"/>
        </w:rPr>
        <w:t xml:space="preserve"> for “</w:t>
      </w:r>
      <w:proofErr w:type="spellStart"/>
      <w:r w:rsidRPr="007C52FD">
        <w:rPr>
          <w:sz w:val="24"/>
          <w:szCs w:val="24"/>
          <w:lang w:val="en-AU"/>
        </w:rPr>
        <w:t>ec</w:t>
      </w:r>
      <w:proofErr w:type="spellEnd"/>
      <w:r w:rsidRPr="007C52FD">
        <w:rPr>
          <w:sz w:val="24"/>
          <w:szCs w:val="24"/>
          <w:lang w:val="en-AU"/>
        </w:rPr>
        <w:t xml:space="preserve">” Ex Equipment enclosures. The ahG should have the following scope: </w:t>
      </w:r>
      <w:r w:rsidRPr="007C52FD">
        <w:rPr>
          <w:i/>
          <w:iCs/>
          <w:sz w:val="24"/>
          <w:szCs w:val="24"/>
          <w:lang w:val="en-AU"/>
        </w:rPr>
        <w:t>To coordinate the equipment requirements in IEC 60079-7 and the installation requirements in IEC 60079-14 for “</w:t>
      </w:r>
      <w:proofErr w:type="spellStart"/>
      <w:r w:rsidRPr="007C52FD">
        <w:rPr>
          <w:i/>
          <w:iCs/>
          <w:sz w:val="24"/>
          <w:szCs w:val="24"/>
          <w:lang w:val="en-AU"/>
        </w:rPr>
        <w:t>ec</w:t>
      </w:r>
      <w:proofErr w:type="spellEnd"/>
      <w:r w:rsidRPr="007C52FD">
        <w:rPr>
          <w:i/>
          <w:iCs/>
          <w:sz w:val="24"/>
          <w:szCs w:val="24"/>
          <w:lang w:val="en-AU"/>
        </w:rPr>
        <w:t>” Ex Equipment enclosures, partially enclosed Ex Equipment, and their assembly and marking.</w:t>
      </w:r>
    </w:p>
    <w:p w14:paraId="03EB2FE9" w14:textId="4F13F079" w:rsidR="001D5086" w:rsidRPr="001D5086" w:rsidRDefault="001D5086" w:rsidP="00D3239F">
      <w:pPr>
        <w:pStyle w:val="ListParagraph"/>
        <w:numPr>
          <w:ilvl w:val="0"/>
          <w:numId w:val="26"/>
        </w:numPr>
        <w:jc w:val="left"/>
        <w:rPr>
          <w:sz w:val="24"/>
          <w:szCs w:val="24"/>
          <w:lang w:val="en-AU"/>
        </w:rPr>
      </w:pPr>
      <w:r w:rsidRPr="001D5086">
        <w:rPr>
          <w:sz w:val="24"/>
          <w:szCs w:val="24"/>
          <w:lang w:val="en-AU"/>
        </w:rPr>
        <w:t>RESOLUTION 13:</w:t>
      </w:r>
      <w:r w:rsidRPr="001D5086">
        <w:rPr>
          <w:sz w:val="24"/>
          <w:szCs w:val="24"/>
          <w:lang w:val="en-AU"/>
        </w:rPr>
        <w:br/>
        <w:t>The TC 31 CAG recommends the inclusion of additional guidance in the GWP for the significance of changes table. Guidance is needed on a common approach for addressing changes which clarify an interpretation, equivalent to an ISH. Such changes could be considered a major technical change by some manufacturers, but are not considered a technical change by the MT.</w:t>
      </w:r>
      <w:r w:rsidRPr="001D5086">
        <w:rPr>
          <w:sz w:val="24"/>
          <w:szCs w:val="24"/>
          <w:lang w:val="en-AU"/>
        </w:rPr>
        <w:br/>
        <w:t>Guidance should also be added which clarifies how the table is used in practice.</w:t>
      </w:r>
    </w:p>
    <w:p w14:paraId="6B87A0C1" w14:textId="77777777" w:rsidR="00E114F6" w:rsidRPr="00100F6B" w:rsidRDefault="00E114F6" w:rsidP="00E114F6">
      <w:pPr>
        <w:rPr>
          <w:sz w:val="24"/>
          <w:szCs w:val="24"/>
          <w:lang w:val="en-AU"/>
        </w:rPr>
      </w:pPr>
    </w:p>
    <w:p w14:paraId="4D2EF6E3" w14:textId="77777777" w:rsidR="001627CF" w:rsidRPr="00100F6B" w:rsidRDefault="001627CF" w:rsidP="001627CF">
      <w:pPr>
        <w:rPr>
          <w:b/>
          <w:sz w:val="24"/>
          <w:szCs w:val="24"/>
          <w:lang w:val="en-AU"/>
        </w:rPr>
      </w:pPr>
      <w:r w:rsidRPr="00100F6B">
        <w:rPr>
          <w:b/>
          <w:sz w:val="24"/>
          <w:szCs w:val="24"/>
          <w:lang w:val="en-AU"/>
        </w:rPr>
        <w:t xml:space="preserve">Future TC 31 </w:t>
      </w:r>
      <w:r w:rsidR="00EB4ADA" w:rsidRPr="00100F6B">
        <w:rPr>
          <w:b/>
          <w:sz w:val="24"/>
          <w:szCs w:val="24"/>
          <w:lang w:val="en-AU"/>
        </w:rPr>
        <w:t>m</w:t>
      </w:r>
      <w:r w:rsidRPr="00100F6B">
        <w:rPr>
          <w:b/>
          <w:sz w:val="24"/>
          <w:szCs w:val="24"/>
          <w:lang w:val="en-AU"/>
        </w:rPr>
        <w:t>eetings</w:t>
      </w:r>
    </w:p>
    <w:p w14:paraId="1DC2362A" w14:textId="77777777" w:rsidR="00870803" w:rsidRPr="001D5086" w:rsidRDefault="00870803" w:rsidP="001627CF">
      <w:pPr>
        <w:rPr>
          <w:bCs/>
          <w:sz w:val="24"/>
          <w:szCs w:val="24"/>
          <w:lang w:val="en-AU"/>
        </w:rPr>
      </w:pPr>
    </w:p>
    <w:p w14:paraId="08D7E7C2" w14:textId="21231953" w:rsidR="002B1A1D" w:rsidRPr="00100F6B" w:rsidRDefault="002B1A1D" w:rsidP="002B1A1D">
      <w:pPr>
        <w:jc w:val="left"/>
        <w:rPr>
          <w:sz w:val="24"/>
          <w:szCs w:val="24"/>
          <w:lang w:val="en-AU"/>
        </w:rPr>
      </w:pPr>
      <w:r w:rsidRPr="00100F6B">
        <w:rPr>
          <w:sz w:val="24"/>
          <w:szCs w:val="24"/>
          <w:lang w:val="en-AU"/>
        </w:rPr>
        <w:t>The coming plenary meeting</w:t>
      </w:r>
      <w:r w:rsidR="00100F6B">
        <w:rPr>
          <w:sz w:val="24"/>
          <w:szCs w:val="24"/>
          <w:lang w:val="en-AU"/>
        </w:rPr>
        <w:t>s</w:t>
      </w:r>
      <w:r w:rsidRPr="00100F6B">
        <w:rPr>
          <w:sz w:val="24"/>
          <w:szCs w:val="24"/>
          <w:lang w:val="en-AU"/>
        </w:rPr>
        <w:t xml:space="preserve"> of </w:t>
      </w:r>
      <w:r w:rsidR="00100F6B">
        <w:rPr>
          <w:sz w:val="24"/>
          <w:szCs w:val="24"/>
          <w:lang w:val="en-AU"/>
        </w:rPr>
        <w:t xml:space="preserve">SC 31G, SC 31J, </w:t>
      </w:r>
      <w:r w:rsidRPr="00100F6B">
        <w:rPr>
          <w:sz w:val="24"/>
          <w:szCs w:val="24"/>
          <w:lang w:val="en-AU"/>
        </w:rPr>
        <w:t xml:space="preserve">SC 31M and TC 31 </w:t>
      </w:r>
      <w:r w:rsidR="00100F6B">
        <w:rPr>
          <w:sz w:val="24"/>
          <w:szCs w:val="24"/>
          <w:lang w:val="en-AU"/>
        </w:rPr>
        <w:t>are</w:t>
      </w:r>
      <w:r w:rsidRPr="00100F6B">
        <w:rPr>
          <w:sz w:val="24"/>
          <w:szCs w:val="24"/>
          <w:lang w:val="en-AU"/>
        </w:rPr>
        <w:t xml:space="preserve"> scheduled for October</w:t>
      </w:r>
      <w:r w:rsidR="00100F6B">
        <w:rPr>
          <w:sz w:val="24"/>
          <w:szCs w:val="24"/>
          <w:lang w:val="en-AU"/>
        </w:rPr>
        <w:t>/November</w:t>
      </w:r>
      <w:r w:rsidRPr="00100F6B">
        <w:rPr>
          <w:sz w:val="24"/>
          <w:szCs w:val="24"/>
          <w:lang w:val="en-AU"/>
        </w:rPr>
        <w:t xml:space="preserve"> 202</w:t>
      </w:r>
      <w:r w:rsidR="00100F6B">
        <w:rPr>
          <w:sz w:val="24"/>
          <w:szCs w:val="24"/>
          <w:lang w:val="en-AU"/>
        </w:rPr>
        <w:t>2</w:t>
      </w:r>
      <w:r w:rsidRPr="00100F6B">
        <w:rPr>
          <w:sz w:val="24"/>
          <w:szCs w:val="24"/>
          <w:lang w:val="en-AU"/>
        </w:rPr>
        <w:t xml:space="preserve"> as </w:t>
      </w:r>
      <w:r w:rsidR="00100F6B">
        <w:rPr>
          <w:sz w:val="24"/>
          <w:szCs w:val="24"/>
          <w:lang w:val="en-AU"/>
        </w:rPr>
        <w:t>part of the IEC General Meeting in San Francisco (USA)</w:t>
      </w:r>
      <w:r w:rsidRPr="00100F6B">
        <w:rPr>
          <w:sz w:val="24"/>
          <w:szCs w:val="24"/>
          <w:lang w:val="en-AU"/>
        </w:rPr>
        <w:t>.</w:t>
      </w:r>
    </w:p>
    <w:p w14:paraId="5CE7AF98" w14:textId="77777777" w:rsidR="002B1A1D" w:rsidRPr="00100F6B" w:rsidRDefault="002B1A1D" w:rsidP="002B1A1D">
      <w:pPr>
        <w:jc w:val="left"/>
        <w:rPr>
          <w:sz w:val="24"/>
          <w:szCs w:val="24"/>
          <w:lang w:val="en-AU"/>
        </w:rPr>
      </w:pPr>
    </w:p>
    <w:p w14:paraId="3EA4989D" w14:textId="43870C28" w:rsidR="00522695" w:rsidRPr="00100F6B" w:rsidRDefault="00A83F47" w:rsidP="00522695">
      <w:pPr>
        <w:rPr>
          <w:sz w:val="24"/>
          <w:szCs w:val="24"/>
          <w:lang w:val="en-AU"/>
        </w:rPr>
      </w:pPr>
      <w:r w:rsidRPr="00100F6B">
        <w:rPr>
          <w:sz w:val="24"/>
          <w:szCs w:val="24"/>
          <w:lang w:val="en-AU"/>
        </w:rPr>
        <w:t xml:space="preserve">Next </w:t>
      </w:r>
      <w:r w:rsidR="0031176B" w:rsidRPr="00100F6B">
        <w:rPr>
          <w:sz w:val="24"/>
          <w:szCs w:val="24"/>
          <w:lang w:val="en-AU"/>
        </w:rPr>
        <w:t xml:space="preserve">face-to-face </w:t>
      </w:r>
      <w:r w:rsidRPr="00100F6B">
        <w:rPr>
          <w:sz w:val="24"/>
          <w:szCs w:val="24"/>
          <w:lang w:val="en-AU"/>
        </w:rPr>
        <w:t>m</w:t>
      </w:r>
      <w:r w:rsidR="00522695" w:rsidRPr="00100F6B">
        <w:rPr>
          <w:sz w:val="24"/>
          <w:szCs w:val="24"/>
          <w:lang w:val="en-AU"/>
        </w:rPr>
        <w:t>eetings</w:t>
      </w:r>
      <w:r w:rsidRPr="00100F6B">
        <w:rPr>
          <w:sz w:val="24"/>
          <w:szCs w:val="24"/>
          <w:lang w:val="en-AU"/>
        </w:rPr>
        <w:t xml:space="preserve"> of Working Groups, Maintenance Teams, Project Teams of TC 31 and it’s SCs</w:t>
      </w:r>
      <w:r w:rsidR="00522695" w:rsidRPr="00100F6B">
        <w:rPr>
          <w:sz w:val="24"/>
          <w:szCs w:val="24"/>
          <w:lang w:val="en-AU"/>
        </w:rPr>
        <w:t xml:space="preserve"> are </w:t>
      </w:r>
      <w:r w:rsidRPr="00100F6B">
        <w:rPr>
          <w:sz w:val="24"/>
          <w:szCs w:val="24"/>
          <w:lang w:val="en-AU"/>
        </w:rPr>
        <w:t xml:space="preserve">planned for </w:t>
      </w:r>
      <w:r w:rsidR="00100F6B">
        <w:rPr>
          <w:sz w:val="24"/>
          <w:szCs w:val="24"/>
          <w:lang w:val="en-AU"/>
        </w:rPr>
        <w:t>October</w:t>
      </w:r>
      <w:r w:rsidRPr="00100F6B">
        <w:rPr>
          <w:sz w:val="24"/>
          <w:szCs w:val="24"/>
          <w:lang w:val="en-AU"/>
        </w:rPr>
        <w:t xml:space="preserve"> 202</w:t>
      </w:r>
      <w:r w:rsidR="002B1A1D" w:rsidRPr="00100F6B">
        <w:rPr>
          <w:sz w:val="24"/>
          <w:szCs w:val="24"/>
          <w:lang w:val="en-AU"/>
        </w:rPr>
        <w:t>2</w:t>
      </w:r>
      <w:r w:rsidRPr="00100F6B">
        <w:rPr>
          <w:sz w:val="24"/>
          <w:szCs w:val="24"/>
          <w:lang w:val="en-AU"/>
        </w:rPr>
        <w:t xml:space="preserve"> in</w:t>
      </w:r>
      <w:r w:rsidR="00522695" w:rsidRPr="00100F6B">
        <w:rPr>
          <w:sz w:val="24"/>
          <w:szCs w:val="24"/>
          <w:lang w:val="en-AU"/>
        </w:rPr>
        <w:t xml:space="preserve"> </w:t>
      </w:r>
      <w:r w:rsidR="00100F6B" w:rsidRPr="00100F6B">
        <w:rPr>
          <w:sz w:val="24"/>
          <w:szCs w:val="24"/>
          <w:lang w:val="en-AU"/>
        </w:rPr>
        <w:t>San Francisco (USA)</w:t>
      </w:r>
      <w:r w:rsidRPr="00100F6B">
        <w:rPr>
          <w:sz w:val="24"/>
          <w:szCs w:val="24"/>
          <w:lang w:val="en-AU"/>
        </w:rPr>
        <w:t xml:space="preserve"> </w:t>
      </w:r>
      <w:r w:rsidR="00100F6B">
        <w:rPr>
          <w:sz w:val="24"/>
          <w:szCs w:val="24"/>
          <w:lang w:val="en-AU"/>
        </w:rPr>
        <w:t xml:space="preserve">and for March 2023 in Sydney (Australia) </w:t>
      </w:r>
      <w:r w:rsidRPr="00100F6B">
        <w:rPr>
          <w:sz w:val="24"/>
          <w:szCs w:val="24"/>
          <w:lang w:val="en-AU"/>
        </w:rPr>
        <w:t>followed by a meeting of the TC 31 Chair’s Advisory Group</w:t>
      </w:r>
      <w:r w:rsidR="002B1A1D" w:rsidRPr="00100F6B">
        <w:rPr>
          <w:sz w:val="24"/>
          <w:szCs w:val="24"/>
          <w:lang w:val="en-AU"/>
        </w:rPr>
        <w:t xml:space="preserve"> (CAG)</w:t>
      </w:r>
      <w:r w:rsidR="00B61397">
        <w:rPr>
          <w:sz w:val="24"/>
          <w:szCs w:val="24"/>
          <w:lang w:val="en-AU"/>
        </w:rPr>
        <w:t>.</w:t>
      </w:r>
      <w:r w:rsidRPr="00100F6B">
        <w:rPr>
          <w:sz w:val="24"/>
          <w:szCs w:val="24"/>
          <w:lang w:val="en-AU"/>
        </w:rPr>
        <w:t xml:space="preserve"> </w:t>
      </w:r>
    </w:p>
    <w:p w14:paraId="202EC6D8" w14:textId="77777777" w:rsidR="002B1A1D" w:rsidRPr="00100F6B" w:rsidRDefault="002B1A1D" w:rsidP="008D15FA">
      <w:pPr>
        <w:rPr>
          <w:sz w:val="24"/>
          <w:szCs w:val="24"/>
          <w:lang w:val="en-AU"/>
        </w:rPr>
      </w:pPr>
    </w:p>
    <w:p w14:paraId="28B9A2F7" w14:textId="77777777" w:rsidR="008D15FA" w:rsidRPr="00100F6B" w:rsidRDefault="008D15FA" w:rsidP="008D15FA">
      <w:pPr>
        <w:rPr>
          <w:sz w:val="24"/>
          <w:szCs w:val="24"/>
          <w:lang w:val="en-AU"/>
        </w:rPr>
      </w:pPr>
      <w:r w:rsidRPr="00100F6B">
        <w:rPr>
          <w:sz w:val="24"/>
          <w:szCs w:val="24"/>
          <w:lang w:val="en-AU"/>
        </w:rPr>
        <w:t>As always, we invite IECEx to make a presentation to these groups as part of the agenda.</w:t>
      </w:r>
    </w:p>
    <w:p w14:paraId="74AD9F24" w14:textId="77777777" w:rsidR="000C3142" w:rsidRPr="00100F6B" w:rsidRDefault="000C3142" w:rsidP="008D15FA">
      <w:pPr>
        <w:rPr>
          <w:sz w:val="24"/>
          <w:szCs w:val="24"/>
          <w:lang w:val="en-AU"/>
        </w:rPr>
      </w:pPr>
    </w:p>
    <w:p w14:paraId="43BF17DF" w14:textId="77777777" w:rsidR="001479CB" w:rsidRPr="00100F6B" w:rsidRDefault="001479CB" w:rsidP="00CE6161">
      <w:pPr>
        <w:rPr>
          <w:b/>
          <w:bCs/>
          <w:sz w:val="24"/>
          <w:szCs w:val="24"/>
          <w:lang w:val="en-US"/>
        </w:rPr>
      </w:pPr>
      <w:r w:rsidRPr="00100F6B">
        <w:rPr>
          <w:b/>
          <w:bCs/>
          <w:sz w:val="24"/>
          <w:szCs w:val="24"/>
          <w:lang w:val="en-US"/>
        </w:rPr>
        <w:t xml:space="preserve">Standards and </w:t>
      </w:r>
      <w:r w:rsidR="00EB4ADA" w:rsidRPr="00100F6B">
        <w:rPr>
          <w:b/>
          <w:bCs/>
          <w:sz w:val="24"/>
          <w:szCs w:val="24"/>
          <w:lang w:val="en-US"/>
        </w:rPr>
        <w:t>a</w:t>
      </w:r>
      <w:r w:rsidRPr="00100F6B">
        <w:rPr>
          <w:b/>
          <w:bCs/>
          <w:sz w:val="24"/>
          <w:szCs w:val="24"/>
          <w:lang w:val="en-US"/>
        </w:rPr>
        <w:t xml:space="preserve">ssociated </w:t>
      </w:r>
      <w:r w:rsidR="00EB4ADA" w:rsidRPr="00100F6B">
        <w:rPr>
          <w:b/>
          <w:bCs/>
          <w:sz w:val="24"/>
          <w:szCs w:val="24"/>
          <w:lang w:val="en-US"/>
        </w:rPr>
        <w:t>d</w:t>
      </w:r>
      <w:r w:rsidRPr="00100F6B">
        <w:rPr>
          <w:b/>
          <w:bCs/>
          <w:sz w:val="24"/>
          <w:szCs w:val="24"/>
          <w:lang w:val="en-US"/>
        </w:rPr>
        <w:t xml:space="preserve">ocuments </w:t>
      </w:r>
      <w:r w:rsidR="00EB4ADA" w:rsidRPr="00100F6B">
        <w:rPr>
          <w:b/>
          <w:bCs/>
          <w:sz w:val="24"/>
          <w:szCs w:val="24"/>
          <w:lang w:val="en-US"/>
        </w:rPr>
        <w:t>i</w:t>
      </w:r>
      <w:r w:rsidRPr="00100F6B">
        <w:rPr>
          <w:b/>
          <w:bCs/>
          <w:sz w:val="24"/>
          <w:szCs w:val="24"/>
          <w:lang w:val="en-US"/>
        </w:rPr>
        <w:t xml:space="preserve">ssued </w:t>
      </w:r>
      <w:r w:rsidR="00EB4ADA" w:rsidRPr="00100F6B">
        <w:rPr>
          <w:b/>
          <w:bCs/>
          <w:sz w:val="24"/>
          <w:szCs w:val="24"/>
          <w:lang w:val="en-US"/>
        </w:rPr>
        <w:t>r</w:t>
      </w:r>
      <w:r w:rsidRPr="00100F6B">
        <w:rPr>
          <w:b/>
          <w:bCs/>
          <w:sz w:val="24"/>
          <w:szCs w:val="24"/>
          <w:lang w:val="en-US"/>
        </w:rPr>
        <w:t>ecently</w:t>
      </w:r>
    </w:p>
    <w:p w14:paraId="1503A027" w14:textId="77777777" w:rsidR="00870803" w:rsidRPr="001D5086" w:rsidRDefault="00870803" w:rsidP="00CE6161">
      <w:pPr>
        <w:rPr>
          <w:sz w:val="24"/>
          <w:szCs w:val="24"/>
          <w:lang w:val="en-US"/>
        </w:rPr>
      </w:pPr>
    </w:p>
    <w:p w14:paraId="4723BF5A" w14:textId="0D00A668" w:rsidR="00BD43E0" w:rsidRPr="00100F6B" w:rsidRDefault="00BD43E0" w:rsidP="00BD43E0">
      <w:pPr>
        <w:jc w:val="left"/>
        <w:rPr>
          <w:bCs/>
          <w:sz w:val="24"/>
          <w:szCs w:val="24"/>
          <w:lang w:val="en-US"/>
        </w:rPr>
      </w:pPr>
      <w:r w:rsidRPr="00100F6B">
        <w:rPr>
          <w:bCs/>
          <w:sz w:val="24"/>
          <w:szCs w:val="24"/>
          <w:lang w:val="en-US"/>
        </w:rPr>
        <w:t xml:space="preserve">The following are documents that have been published over the past 12 months through </w:t>
      </w:r>
      <w:r w:rsidR="002B1A1D" w:rsidRPr="00100F6B">
        <w:rPr>
          <w:bCs/>
          <w:sz w:val="24"/>
          <w:szCs w:val="24"/>
          <w:lang w:val="en-US"/>
        </w:rPr>
        <w:t>August</w:t>
      </w:r>
      <w:r w:rsidRPr="00100F6B">
        <w:rPr>
          <w:bCs/>
          <w:sz w:val="24"/>
          <w:szCs w:val="24"/>
          <w:lang w:val="en-US"/>
        </w:rPr>
        <w:t xml:space="preserve"> 20</w:t>
      </w:r>
      <w:r w:rsidR="00CE6161" w:rsidRPr="00100F6B">
        <w:rPr>
          <w:bCs/>
          <w:sz w:val="24"/>
          <w:szCs w:val="24"/>
          <w:lang w:val="en-US"/>
        </w:rPr>
        <w:t>2</w:t>
      </w:r>
      <w:r w:rsidR="00100F6B">
        <w:rPr>
          <w:bCs/>
          <w:sz w:val="24"/>
          <w:szCs w:val="24"/>
          <w:lang w:val="en-US"/>
        </w:rPr>
        <w:t>2</w:t>
      </w:r>
      <w:r w:rsidRPr="00100F6B">
        <w:rPr>
          <w:bCs/>
          <w:sz w:val="24"/>
          <w:szCs w:val="24"/>
          <w:lang w:val="en-US"/>
        </w:rPr>
        <w:t>:</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709"/>
        <w:gridCol w:w="1559"/>
        <w:gridCol w:w="3231"/>
      </w:tblGrid>
      <w:tr w:rsidR="001479CB" w:rsidRPr="00100F6B" w14:paraId="34CF43FB" w14:textId="77777777" w:rsidTr="00EB4ADA">
        <w:trPr>
          <w:cantSplit/>
          <w:trHeight w:val="75"/>
          <w:jc w:val="center"/>
        </w:trPr>
        <w:tc>
          <w:tcPr>
            <w:tcW w:w="3823" w:type="dxa"/>
            <w:shd w:val="clear" w:color="auto" w:fill="F2F2F2" w:themeFill="background1" w:themeFillShade="F2"/>
          </w:tcPr>
          <w:p w14:paraId="1A00EBAC" w14:textId="77777777" w:rsidR="001479CB" w:rsidRPr="00100F6B" w:rsidRDefault="001479CB" w:rsidP="00CE6161">
            <w:pPr>
              <w:tabs>
                <w:tab w:val="center" w:pos="4536"/>
                <w:tab w:val="right" w:pos="9072"/>
              </w:tabs>
              <w:snapToGrid w:val="0"/>
              <w:jc w:val="center"/>
              <w:rPr>
                <w:b/>
                <w:sz w:val="22"/>
                <w:szCs w:val="24"/>
              </w:rPr>
            </w:pPr>
            <w:r w:rsidRPr="00100F6B">
              <w:rPr>
                <w:b/>
                <w:sz w:val="22"/>
                <w:szCs w:val="24"/>
              </w:rPr>
              <w:t>Number</w:t>
            </w:r>
          </w:p>
        </w:tc>
        <w:tc>
          <w:tcPr>
            <w:tcW w:w="709" w:type="dxa"/>
            <w:shd w:val="clear" w:color="auto" w:fill="F2F2F2" w:themeFill="background1" w:themeFillShade="F2"/>
          </w:tcPr>
          <w:p w14:paraId="305DE327" w14:textId="77777777" w:rsidR="001479CB" w:rsidRPr="00100F6B" w:rsidRDefault="001479CB" w:rsidP="00CE6161">
            <w:pPr>
              <w:tabs>
                <w:tab w:val="center" w:pos="4536"/>
                <w:tab w:val="right" w:pos="9072"/>
              </w:tabs>
              <w:snapToGrid w:val="0"/>
              <w:jc w:val="center"/>
              <w:rPr>
                <w:b/>
                <w:sz w:val="22"/>
                <w:szCs w:val="24"/>
              </w:rPr>
            </w:pPr>
            <w:r w:rsidRPr="00100F6B">
              <w:rPr>
                <w:b/>
                <w:sz w:val="22"/>
                <w:szCs w:val="24"/>
              </w:rPr>
              <w:t>Ed</w:t>
            </w:r>
            <w:r w:rsidR="00CE6161" w:rsidRPr="00100F6B">
              <w:rPr>
                <w:b/>
                <w:sz w:val="22"/>
                <w:szCs w:val="24"/>
              </w:rPr>
              <w:t>.</w:t>
            </w:r>
          </w:p>
        </w:tc>
        <w:tc>
          <w:tcPr>
            <w:tcW w:w="1559" w:type="dxa"/>
            <w:shd w:val="clear" w:color="auto" w:fill="F2F2F2" w:themeFill="background1" w:themeFillShade="F2"/>
          </w:tcPr>
          <w:p w14:paraId="1CE01574" w14:textId="77777777" w:rsidR="001479CB" w:rsidRPr="00100F6B" w:rsidRDefault="001479CB" w:rsidP="00CE6161">
            <w:pPr>
              <w:tabs>
                <w:tab w:val="center" w:pos="4536"/>
                <w:tab w:val="right" w:pos="9072"/>
              </w:tabs>
              <w:snapToGrid w:val="0"/>
              <w:jc w:val="center"/>
              <w:rPr>
                <w:b/>
                <w:sz w:val="22"/>
                <w:szCs w:val="24"/>
              </w:rPr>
            </w:pPr>
            <w:r w:rsidRPr="00100F6B">
              <w:rPr>
                <w:b/>
                <w:sz w:val="22"/>
                <w:szCs w:val="24"/>
              </w:rPr>
              <w:t>Date</w:t>
            </w:r>
          </w:p>
        </w:tc>
        <w:tc>
          <w:tcPr>
            <w:tcW w:w="3231" w:type="dxa"/>
            <w:shd w:val="clear" w:color="auto" w:fill="F2F2F2" w:themeFill="background1" w:themeFillShade="F2"/>
          </w:tcPr>
          <w:p w14:paraId="5BA3C527" w14:textId="77777777" w:rsidR="001479CB" w:rsidRPr="00100F6B" w:rsidRDefault="001479CB" w:rsidP="00CE6161">
            <w:pPr>
              <w:tabs>
                <w:tab w:val="center" w:pos="4536"/>
                <w:tab w:val="right" w:pos="9072"/>
              </w:tabs>
              <w:snapToGrid w:val="0"/>
              <w:jc w:val="center"/>
              <w:rPr>
                <w:b/>
                <w:sz w:val="22"/>
                <w:szCs w:val="24"/>
              </w:rPr>
            </w:pPr>
            <w:r w:rsidRPr="00100F6B">
              <w:rPr>
                <w:b/>
                <w:sz w:val="22"/>
                <w:szCs w:val="24"/>
              </w:rPr>
              <w:t>Title</w:t>
            </w:r>
          </w:p>
        </w:tc>
      </w:tr>
      <w:tr w:rsidR="00611837" w:rsidRPr="00100F6B" w14:paraId="56FEA8BA" w14:textId="77777777" w:rsidTr="00B716B0">
        <w:trPr>
          <w:cantSplit/>
          <w:jc w:val="center"/>
        </w:trPr>
        <w:tc>
          <w:tcPr>
            <w:tcW w:w="3823" w:type="dxa"/>
            <w:vAlign w:val="center"/>
          </w:tcPr>
          <w:p w14:paraId="5609EC34" w14:textId="77777777" w:rsidR="00611837" w:rsidRDefault="00611837" w:rsidP="00B716B0">
            <w:pPr>
              <w:tabs>
                <w:tab w:val="center" w:pos="4536"/>
                <w:tab w:val="right" w:pos="9072"/>
              </w:tabs>
              <w:snapToGrid w:val="0"/>
              <w:jc w:val="center"/>
              <w:rPr>
                <w:bCs/>
                <w:sz w:val="22"/>
                <w:szCs w:val="24"/>
              </w:rPr>
            </w:pPr>
            <w:r>
              <w:rPr>
                <w:bCs/>
                <w:sz w:val="22"/>
                <w:szCs w:val="24"/>
              </w:rPr>
              <w:t>IEC 60079-31:2022</w:t>
            </w:r>
          </w:p>
        </w:tc>
        <w:tc>
          <w:tcPr>
            <w:tcW w:w="709" w:type="dxa"/>
            <w:vAlign w:val="center"/>
          </w:tcPr>
          <w:p w14:paraId="55B75B55" w14:textId="77777777" w:rsidR="00611837" w:rsidRDefault="00611837" w:rsidP="00B716B0">
            <w:pPr>
              <w:tabs>
                <w:tab w:val="center" w:pos="4536"/>
                <w:tab w:val="right" w:pos="9072"/>
              </w:tabs>
              <w:snapToGrid w:val="0"/>
              <w:jc w:val="center"/>
              <w:rPr>
                <w:bCs/>
                <w:sz w:val="22"/>
                <w:szCs w:val="24"/>
              </w:rPr>
            </w:pPr>
            <w:r>
              <w:rPr>
                <w:bCs/>
                <w:sz w:val="22"/>
                <w:szCs w:val="24"/>
              </w:rPr>
              <w:t>3.0</w:t>
            </w:r>
          </w:p>
        </w:tc>
        <w:tc>
          <w:tcPr>
            <w:tcW w:w="1559" w:type="dxa"/>
            <w:vAlign w:val="center"/>
          </w:tcPr>
          <w:p w14:paraId="7637C0EA" w14:textId="77777777" w:rsidR="00611837" w:rsidRDefault="00611837" w:rsidP="00B716B0">
            <w:pPr>
              <w:tabs>
                <w:tab w:val="center" w:pos="4536"/>
                <w:tab w:val="right" w:pos="9072"/>
              </w:tabs>
              <w:snapToGrid w:val="0"/>
              <w:jc w:val="center"/>
              <w:rPr>
                <w:bCs/>
                <w:sz w:val="22"/>
                <w:szCs w:val="24"/>
              </w:rPr>
            </w:pPr>
            <w:r>
              <w:rPr>
                <w:bCs/>
                <w:sz w:val="22"/>
                <w:szCs w:val="24"/>
              </w:rPr>
              <w:t>2022-01-17</w:t>
            </w:r>
          </w:p>
        </w:tc>
        <w:tc>
          <w:tcPr>
            <w:tcW w:w="3231" w:type="dxa"/>
          </w:tcPr>
          <w:p w14:paraId="53F0C692" w14:textId="77777777" w:rsidR="00611837" w:rsidRPr="00611837" w:rsidRDefault="00611837" w:rsidP="00B716B0">
            <w:pPr>
              <w:tabs>
                <w:tab w:val="center" w:pos="4536"/>
                <w:tab w:val="right" w:pos="9072"/>
              </w:tabs>
              <w:snapToGrid w:val="0"/>
              <w:jc w:val="center"/>
              <w:rPr>
                <w:bCs/>
                <w:sz w:val="22"/>
                <w:szCs w:val="24"/>
              </w:rPr>
            </w:pPr>
            <w:r w:rsidRPr="00611837">
              <w:rPr>
                <w:bCs/>
                <w:sz w:val="22"/>
                <w:szCs w:val="24"/>
              </w:rPr>
              <w:t>Explosive atmospheres - Part 31: Equipment dust ignition protection by enclosure "t"</w:t>
            </w:r>
          </w:p>
        </w:tc>
      </w:tr>
      <w:tr w:rsidR="00611837" w:rsidRPr="00100F6B" w14:paraId="2B7F1AAE" w14:textId="77777777" w:rsidTr="00EB4ADA">
        <w:trPr>
          <w:cantSplit/>
          <w:jc w:val="center"/>
        </w:trPr>
        <w:tc>
          <w:tcPr>
            <w:tcW w:w="3823" w:type="dxa"/>
            <w:vAlign w:val="center"/>
          </w:tcPr>
          <w:p w14:paraId="09F25AEE" w14:textId="1E5AC40C" w:rsidR="00611837" w:rsidRPr="00611837" w:rsidRDefault="00611837" w:rsidP="00EB4ADA">
            <w:pPr>
              <w:tabs>
                <w:tab w:val="center" w:pos="4536"/>
                <w:tab w:val="right" w:pos="9072"/>
              </w:tabs>
              <w:snapToGrid w:val="0"/>
              <w:jc w:val="center"/>
              <w:rPr>
                <w:bCs/>
                <w:sz w:val="22"/>
                <w:szCs w:val="24"/>
              </w:rPr>
            </w:pPr>
            <w:r>
              <w:rPr>
                <w:bCs/>
                <w:sz w:val="22"/>
                <w:szCs w:val="24"/>
              </w:rPr>
              <w:t>IEC 60079-5:2015+AMD1:2022</w:t>
            </w:r>
          </w:p>
        </w:tc>
        <w:tc>
          <w:tcPr>
            <w:tcW w:w="709" w:type="dxa"/>
            <w:vAlign w:val="center"/>
          </w:tcPr>
          <w:p w14:paraId="31970FB7" w14:textId="0D921026" w:rsidR="00611837" w:rsidRPr="00611837" w:rsidRDefault="00611837" w:rsidP="00CE6161">
            <w:pPr>
              <w:tabs>
                <w:tab w:val="center" w:pos="4536"/>
                <w:tab w:val="right" w:pos="9072"/>
              </w:tabs>
              <w:snapToGrid w:val="0"/>
              <w:jc w:val="center"/>
              <w:rPr>
                <w:bCs/>
                <w:sz w:val="22"/>
                <w:szCs w:val="24"/>
              </w:rPr>
            </w:pPr>
            <w:r>
              <w:rPr>
                <w:bCs/>
                <w:sz w:val="22"/>
                <w:szCs w:val="24"/>
              </w:rPr>
              <w:t>4.1</w:t>
            </w:r>
          </w:p>
        </w:tc>
        <w:tc>
          <w:tcPr>
            <w:tcW w:w="1559" w:type="dxa"/>
            <w:vAlign w:val="center"/>
          </w:tcPr>
          <w:p w14:paraId="0B429C40" w14:textId="345BB843" w:rsidR="00611837" w:rsidRPr="00611837" w:rsidRDefault="00611837" w:rsidP="00CE6161">
            <w:pPr>
              <w:tabs>
                <w:tab w:val="center" w:pos="4536"/>
                <w:tab w:val="right" w:pos="9072"/>
              </w:tabs>
              <w:snapToGrid w:val="0"/>
              <w:jc w:val="center"/>
              <w:rPr>
                <w:bCs/>
                <w:sz w:val="22"/>
                <w:szCs w:val="24"/>
              </w:rPr>
            </w:pPr>
            <w:r>
              <w:rPr>
                <w:bCs/>
                <w:sz w:val="22"/>
                <w:szCs w:val="24"/>
              </w:rPr>
              <w:t>2022-05-12</w:t>
            </w:r>
          </w:p>
        </w:tc>
        <w:tc>
          <w:tcPr>
            <w:tcW w:w="3231" w:type="dxa"/>
          </w:tcPr>
          <w:p w14:paraId="157102A4" w14:textId="11F7272F" w:rsidR="00611837" w:rsidRPr="00611837" w:rsidRDefault="00611837" w:rsidP="00EB4ADA">
            <w:pPr>
              <w:tabs>
                <w:tab w:val="center" w:pos="4536"/>
                <w:tab w:val="right" w:pos="9072"/>
              </w:tabs>
              <w:snapToGrid w:val="0"/>
              <w:jc w:val="center"/>
              <w:rPr>
                <w:bCs/>
                <w:sz w:val="22"/>
                <w:szCs w:val="24"/>
              </w:rPr>
            </w:pPr>
            <w:r w:rsidRPr="00611837">
              <w:rPr>
                <w:bCs/>
                <w:sz w:val="22"/>
                <w:szCs w:val="24"/>
              </w:rPr>
              <w:t>Explosive atmospheres - Part 5: Equipment protection by powder filling "q"</w:t>
            </w:r>
          </w:p>
        </w:tc>
      </w:tr>
    </w:tbl>
    <w:p w14:paraId="38BD7B18" w14:textId="77777777" w:rsidR="00870803" w:rsidRPr="001D5086" w:rsidRDefault="00870803" w:rsidP="001D5086">
      <w:pPr>
        <w:rPr>
          <w:sz w:val="24"/>
          <w:szCs w:val="24"/>
          <w:lang w:val="en-US"/>
        </w:rPr>
      </w:pPr>
    </w:p>
    <w:p w14:paraId="58282AC6" w14:textId="77777777" w:rsidR="00AA5446" w:rsidRPr="00100F6B" w:rsidRDefault="00AA5446" w:rsidP="00870803">
      <w:pPr>
        <w:rPr>
          <w:b/>
          <w:bCs/>
          <w:sz w:val="24"/>
          <w:szCs w:val="24"/>
          <w:lang w:val="en-US"/>
        </w:rPr>
      </w:pPr>
      <w:r w:rsidRPr="00100F6B">
        <w:rPr>
          <w:b/>
          <w:bCs/>
          <w:sz w:val="24"/>
          <w:szCs w:val="24"/>
          <w:lang w:val="en-US"/>
        </w:rPr>
        <w:t xml:space="preserve">Documents </w:t>
      </w:r>
      <w:r w:rsidR="00EB4ADA" w:rsidRPr="00100F6B">
        <w:rPr>
          <w:b/>
          <w:bCs/>
          <w:sz w:val="24"/>
          <w:szCs w:val="24"/>
          <w:lang w:val="en-US"/>
        </w:rPr>
        <w:t>n</w:t>
      </w:r>
      <w:r w:rsidRPr="00100F6B">
        <w:rPr>
          <w:b/>
          <w:bCs/>
          <w:sz w:val="24"/>
          <w:szCs w:val="24"/>
          <w:lang w:val="en-US"/>
        </w:rPr>
        <w:t xml:space="preserve">earing </w:t>
      </w:r>
      <w:r w:rsidR="00EB4ADA" w:rsidRPr="00100F6B">
        <w:rPr>
          <w:b/>
          <w:bCs/>
          <w:sz w:val="24"/>
          <w:szCs w:val="24"/>
          <w:lang w:val="en-US"/>
        </w:rPr>
        <w:t>c</w:t>
      </w:r>
      <w:r w:rsidRPr="00100F6B">
        <w:rPr>
          <w:b/>
          <w:bCs/>
          <w:sz w:val="24"/>
          <w:szCs w:val="24"/>
          <w:lang w:val="en-US"/>
        </w:rPr>
        <w:t>ompletion</w:t>
      </w:r>
    </w:p>
    <w:p w14:paraId="17FDCCB7" w14:textId="77777777" w:rsidR="00870803" w:rsidRPr="001D5086" w:rsidRDefault="00870803" w:rsidP="00870803">
      <w:pPr>
        <w:rPr>
          <w:sz w:val="24"/>
          <w:szCs w:val="24"/>
          <w:lang w:val="en-US"/>
        </w:rPr>
      </w:pPr>
    </w:p>
    <w:p w14:paraId="7EA359B3" w14:textId="31A54C41" w:rsidR="00AC4415" w:rsidRPr="00100F6B" w:rsidRDefault="00AC4415" w:rsidP="00AC4415">
      <w:pPr>
        <w:rPr>
          <w:sz w:val="24"/>
          <w:szCs w:val="24"/>
          <w:lang w:val="en-AU"/>
        </w:rPr>
      </w:pPr>
      <w:r w:rsidRPr="00100F6B">
        <w:rPr>
          <w:sz w:val="24"/>
          <w:szCs w:val="24"/>
          <w:lang w:val="en-AU"/>
        </w:rPr>
        <w:t>The following documents were nearing completion (</w:t>
      </w:r>
      <w:proofErr w:type="gramStart"/>
      <w:r w:rsidR="00EB4ADA" w:rsidRPr="00100F6B">
        <w:rPr>
          <w:sz w:val="24"/>
          <w:szCs w:val="24"/>
          <w:lang w:val="en-AU"/>
        </w:rPr>
        <w:t>i.e.</w:t>
      </w:r>
      <w:proofErr w:type="gramEnd"/>
      <w:r w:rsidRPr="00100F6B">
        <w:rPr>
          <w:sz w:val="24"/>
          <w:szCs w:val="24"/>
          <w:lang w:val="en-AU"/>
        </w:rPr>
        <w:t xml:space="preserve"> at FDIS or CDV stage</w:t>
      </w:r>
      <w:r w:rsidR="000423B3" w:rsidRPr="00100F6B">
        <w:rPr>
          <w:sz w:val="24"/>
          <w:szCs w:val="24"/>
          <w:lang w:val="en-AU"/>
        </w:rPr>
        <w:t xml:space="preserve"> complete and FDIS circulation soon</w:t>
      </w:r>
      <w:r w:rsidRPr="00100F6B">
        <w:rPr>
          <w:sz w:val="24"/>
          <w:szCs w:val="24"/>
          <w:lang w:val="en-AU"/>
        </w:rPr>
        <w:t>)</w:t>
      </w:r>
      <w:r w:rsidR="00EB4ADA" w:rsidRPr="00100F6B">
        <w:rPr>
          <w:sz w:val="24"/>
          <w:szCs w:val="24"/>
          <w:lang w:val="en-AU"/>
        </w:rPr>
        <w:t>,</w:t>
      </w:r>
      <w:r w:rsidRPr="00100F6B">
        <w:rPr>
          <w:sz w:val="24"/>
          <w:szCs w:val="24"/>
          <w:lang w:val="en-AU"/>
        </w:rPr>
        <w:t xml:space="preserve"> </w:t>
      </w:r>
      <w:r w:rsidR="00EB4ADA" w:rsidRPr="00100F6B">
        <w:rPr>
          <w:bCs/>
          <w:sz w:val="24"/>
          <w:szCs w:val="24"/>
          <w:lang w:val="en-US"/>
        </w:rPr>
        <w:t>circulated since September</w:t>
      </w:r>
      <w:r w:rsidRPr="00100F6B">
        <w:rPr>
          <w:sz w:val="24"/>
          <w:szCs w:val="24"/>
          <w:lang w:val="en-AU"/>
        </w:rPr>
        <w:t xml:space="preserve"> 20</w:t>
      </w:r>
      <w:r w:rsidR="00EA2754" w:rsidRPr="00100F6B">
        <w:rPr>
          <w:sz w:val="24"/>
          <w:szCs w:val="24"/>
          <w:lang w:val="en-AU"/>
        </w:rPr>
        <w:t>2</w:t>
      </w:r>
      <w:r w:rsidR="00100F6B">
        <w:rPr>
          <w:sz w:val="24"/>
          <w:szCs w:val="24"/>
          <w:lang w:val="en-AU"/>
        </w:rPr>
        <w:t>1</w:t>
      </w:r>
      <w:r w:rsidRPr="00100F6B">
        <w:rPr>
          <w:sz w:val="24"/>
          <w:szCs w:val="24"/>
          <w:lang w:val="en-AU"/>
        </w:rPr>
        <w:t>:</w:t>
      </w:r>
    </w:p>
    <w:tbl>
      <w:tblPr>
        <w:tblW w:w="9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5871"/>
      </w:tblGrid>
      <w:tr w:rsidR="001479CB" w:rsidRPr="00100F6B" w14:paraId="39EA74E2" w14:textId="77777777" w:rsidTr="00EB4ADA">
        <w:trPr>
          <w:trHeight w:val="564"/>
          <w:jc w:val="center"/>
        </w:trPr>
        <w:tc>
          <w:tcPr>
            <w:tcW w:w="1890" w:type="dxa"/>
            <w:shd w:val="clear" w:color="auto" w:fill="F2F2F2" w:themeFill="background1" w:themeFillShade="F2"/>
            <w:vAlign w:val="center"/>
          </w:tcPr>
          <w:p w14:paraId="4F3FB7E8" w14:textId="77777777" w:rsidR="001479CB" w:rsidRPr="00100F6B" w:rsidRDefault="001479CB" w:rsidP="002C04FF">
            <w:pPr>
              <w:tabs>
                <w:tab w:val="center" w:pos="4536"/>
                <w:tab w:val="right" w:pos="9072"/>
              </w:tabs>
              <w:snapToGrid w:val="0"/>
              <w:jc w:val="center"/>
              <w:rPr>
                <w:b/>
                <w:sz w:val="22"/>
                <w:szCs w:val="22"/>
              </w:rPr>
            </w:pPr>
            <w:r w:rsidRPr="00100F6B">
              <w:rPr>
                <w:b/>
                <w:sz w:val="22"/>
                <w:szCs w:val="22"/>
              </w:rPr>
              <w:t>Document Number</w:t>
            </w:r>
          </w:p>
        </w:tc>
        <w:tc>
          <w:tcPr>
            <w:tcW w:w="1440" w:type="dxa"/>
            <w:shd w:val="clear" w:color="auto" w:fill="F2F2F2" w:themeFill="background1" w:themeFillShade="F2"/>
            <w:vAlign w:val="center"/>
          </w:tcPr>
          <w:p w14:paraId="5A7F0FC1" w14:textId="77777777" w:rsidR="001479CB" w:rsidRPr="00100F6B" w:rsidRDefault="001479CB" w:rsidP="002C04FF">
            <w:pPr>
              <w:tabs>
                <w:tab w:val="center" w:pos="4536"/>
                <w:tab w:val="right" w:pos="9072"/>
              </w:tabs>
              <w:snapToGrid w:val="0"/>
              <w:jc w:val="center"/>
              <w:rPr>
                <w:b/>
                <w:sz w:val="22"/>
                <w:szCs w:val="22"/>
              </w:rPr>
            </w:pPr>
            <w:r w:rsidRPr="00100F6B">
              <w:rPr>
                <w:b/>
                <w:sz w:val="22"/>
                <w:szCs w:val="22"/>
              </w:rPr>
              <w:t>Date</w:t>
            </w:r>
            <w:r w:rsidR="002C04FF" w:rsidRPr="00100F6B">
              <w:rPr>
                <w:b/>
                <w:sz w:val="22"/>
                <w:szCs w:val="22"/>
              </w:rPr>
              <w:t xml:space="preserve"> of circulation</w:t>
            </w:r>
          </w:p>
        </w:tc>
        <w:tc>
          <w:tcPr>
            <w:tcW w:w="5871" w:type="dxa"/>
            <w:shd w:val="clear" w:color="auto" w:fill="F2F2F2" w:themeFill="background1" w:themeFillShade="F2"/>
            <w:vAlign w:val="center"/>
          </w:tcPr>
          <w:p w14:paraId="578C3C19" w14:textId="77777777" w:rsidR="001479CB" w:rsidRPr="00100F6B" w:rsidRDefault="001479CB" w:rsidP="002C04FF">
            <w:pPr>
              <w:tabs>
                <w:tab w:val="center" w:pos="4536"/>
                <w:tab w:val="right" w:pos="9072"/>
              </w:tabs>
              <w:snapToGrid w:val="0"/>
              <w:jc w:val="center"/>
              <w:rPr>
                <w:b/>
                <w:sz w:val="22"/>
                <w:szCs w:val="22"/>
              </w:rPr>
            </w:pPr>
            <w:r w:rsidRPr="00100F6B">
              <w:rPr>
                <w:b/>
                <w:sz w:val="22"/>
                <w:szCs w:val="22"/>
              </w:rPr>
              <w:t>Title</w:t>
            </w:r>
          </w:p>
        </w:tc>
      </w:tr>
      <w:tr w:rsidR="00371E0B" w:rsidRPr="00100F6B" w14:paraId="3B833258" w14:textId="77777777" w:rsidTr="002C04FF">
        <w:trPr>
          <w:jc w:val="center"/>
        </w:trPr>
        <w:tc>
          <w:tcPr>
            <w:tcW w:w="1890" w:type="dxa"/>
            <w:vAlign w:val="center"/>
          </w:tcPr>
          <w:p w14:paraId="7292C7DB" w14:textId="405EE1EE" w:rsidR="00371E0B" w:rsidRPr="00611837" w:rsidRDefault="00611837" w:rsidP="002C04FF">
            <w:pPr>
              <w:tabs>
                <w:tab w:val="center" w:pos="4536"/>
                <w:tab w:val="right" w:pos="9072"/>
              </w:tabs>
              <w:snapToGrid w:val="0"/>
              <w:jc w:val="center"/>
              <w:rPr>
                <w:bCs/>
                <w:sz w:val="22"/>
                <w:szCs w:val="22"/>
              </w:rPr>
            </w:pPr>
            <w:r w:rsidRPr="00611837">
              <w:rPr>
                <w:bCs/>
                <w:sz w:val="22"/>
                <w:szCs w:val="22"/>
              </w:rPr>
              <w:t>./.</w:t>
            </w:r>
          </w:p>
        </w:tc>
        <w:tc>
          <w:tcPr>
            <w:tcW w:w="1440" w:type="dxa"/>
            <w:vAlign w:val="center"/>
          </w:tcPr>
          <w:p w14:paraId="040A20E3" w14:textId="4477883C" w:rsidR="00371E0B" w:rsidRPr="00611837" w:rsidRDefault="00371E0B" w:rsidP="002C04FF">
            <w:pPr>
              <w:tabs>
                <w:tab w:val="center" w:pos="4536"/>
                <w:tab w:val="right" w:pos="9072"/>
              </w:tabs>
              <w:snapToGrid w:val="0"/>
              <w:jc w:val="center"/>
              <w:rPr>
                <w:sz w:val="22"/>
                <w:szCs w:val="22"/>
              </w:rPr>
            </w:pPr>
          </w:p>
        </w:tc>
        <w:tc>
          <w:tcPr>
            <w:tcW w:w="5871" w:type="dxa"/>
          </w:tcPr>
          <w:p w14:paraId="6EA498B4" w14:textId="4F9C911B" w:rsidR="00E4605E" w:rsidRPr="00611837" w:rsidRDefault="00E4605E" w:rsidP="002C04FF">
            <w:pPr>
              <w:tabs>
                <w:tab w:val="center" w:pos="4536"/>
                <w:tab w:val="right" w:pos="9072"/>
              </w:tabs>
              <w:autoSpaceDE w:val="0"/>
              <w:autoSpaceDN w:val="0"/>
              <w:adjustRightInd w:val="0"/>
              <w:snapToGrid w:val="0"/>
              <w:jc w:val="center"/>
              <w:rPr>
                <w:sz w:val="22"/>
                <w:szCs w:val="22"/>
              </w:rPr>
            </w:pPr>
          </w:p>
        </w:tc>
      </w:tr>
    </w:tbl>
    <w:p w14:paraId="7693AC5E" w14:textId="77777777" w:rsidR="000C3142" w:rsidRPr="00100F6B" w:rsidRDefault="000C3142" w:rsidP="000C3142">
      <w:pPr>
        <w:rPr>
          <w:sz w:val="24"/>
          <w:szCs w:val="24"/>
          <w:lang w:val="en-AU"/>
        </w:rPr>
      </w:pPr>
    </w:p>
    <w:p w14:paraId="1A487D13" w14:textId="77777777" w:rsidR="000C3142" w:rsidRPr="00100F6B" w:rsidRDefault="000C3142" w:rsidP="000C3142">
      <w:pPr>
        <w:rPr>
          <w:b/>
          <w:sz w:val="24"/>
          <w:szCs w:val="24"/>
          <w:lang w:val="en-AU"/>
        </w:rPr>
      </w:pPr>
      <w:r w:rsidRPr="00100F6B">
        <w:rPr>
          <w:b/>
          <w:sz w:val="24"/>
          <w:szCs w:val="24"/>
          <w:lang w:val="en-AU"/>
        </w:rPr>
        <w:t>Matters likely to be of interest to IECEx</w:t>
      </w:r>
    </w:p>
    <w:p w14:paraId="69F2FD2B" w14:textId="77777777" w:rsidR="00870803" w:rsidRPr="00100F6B" w:rsidRDefault="00870803" w:rsidP="000C3142">
      <w:pPr>
        <w:rPr>
          <w:b/>
          <w:sz w:val="24"/>
          <w:szCs w:val="24"/>
          <w:lang w:val="en-AU"/>
        </w:rPr>
      </w:pPr>
    </w:p>
    <w:p w14:paraId="306C22E2" w14:textId="77777777" w:rsidR="001D5086" w:rsidRDefault="001D5086" w:rsidP="001D5086">
      <w:pPr>
        <w:pStyle w:val="ListParagraph"/>
        <w:numPr>
          <w:ilvl w:val="0"/>
          <w:numId w:val="16"/>
        </w:numPr>
        <w:jc w:val="left"/>
        <w:rPr>
          <w:sz w:val="24"/>
          <w:szCs w:val="24"/>
          <w:lang w:val="en-AU"/>
        </w:rPr>
      </w:pPr>
      <w:r w:rsidRPr="001D5086">
        <w:rPr>
          <w:sz w:val="24"/>
          <w:szCs w:val="24"/>
          <w:lang w:val="en-AU"/>
        </w:rPr>
        <w:t xml:space="preserve">Tom Stack (BSI) is the new secretary of IEC TC 31 (as successor of Mick </w:t>
      </w:r>
      <w:proofErr w:type="spellStart"/>
      <w:r w:rsidRPr="001D5086">
        <w:rPr>
          <w:sz w:val="24"/>
          <w:szCs w:val="24"/>
          <w:lang w:val="en-AU"/>
        </w:rPr>
        <w:t>Maghar</w:t>
      </w:r>
      <w:proofErr w:type="spellEnd"/>
      <w:r w:rsidRPr="001D5086">
        <w:rPr>
          <w:sz w:val="24"/>
          <w:szCs w:val="24"/>
          <w:lang w:val="en-AU"/>
        </w:rPr>
        <w:t>)</w:t>
      </w:r>
      <w:r>
        <w:rPr>
          <w:sz w:val="24"/>
          <w:szCs w:val="24"/>
          <w:lang w:val="en-AU"/>
        </w:rPr>
        <w:t>.</w:t>
      </w:r>
    </w:p>
    <w:p w14:paraId="64C1E8D0" w14:textId="69E94325" w:rsidR="001D5086" w:rsidRPr="001D5086" w:rsidRDefault="001D5086" w:rsidP="00E1589B">
      <w:pPr>
        <w:pStyle w:val="ListParagraph"/>
        <w:numPr>
          <w:ilvl w:val="0"/>
          <w:numId w:val="16"/>
        </w:numPr>
        <w:jc w:val="left"/>
        <w:rPr>
          <w:bCs/>
          <w:sz w:val="24"/>
          <w:szCs w:val="24"/>
          <w:lang w:val="en-AU"/>
        </w:rPr>
      </w:pPr>
      <w:r w:rsidRPr="001D5086">
        <w:rPr>
          <w:sz w:val="24"/>
          <w:szCs w:val="24"/>
          <w:lang w:val="en-AU"/>
        </w:rPr>
        <w:t xml:space="preserve">Thierry </w:t>
      </w:r>
      <w:proofErr w:type="spellStart"/>
      <w:r w:rsidRPr="001D5086">
        <w:rPr>
          <w:sz w:val="24"/>
          <w:szCs w:val="24"/>
          <w:lang w:val="en-AU"/>
        </w:rPr>
        <w:t>Houeix</w:t>
      </w:r>
      <w:proofErr w:type="spellEnd"/>
      <w:r w:rsidRPr="001D5086">
        <w:rPr>
          <w:sz w:val="24"/>
          <w:szCs w:val="24"/>
          <w:lang w:val="en-AU"/>
        </w:rPr>
        <w:t xml:space="preserve"> (France) is the new Chair of SC 31</w:t>
      </w:r>
      <w:proofErr w:type="gramStart"/>
      <w:r w:rsidRPr="001D5086">
        <w:rPr>
          <w:sz w:val="24"/>
          <w:szCs w:val="24"/>
          <w:lang w:val="en-AU"/>
        </w:rPr>
        <w:t>M(</w:t>
      </w:r>
      <w:proofErr w:type="gramEnd"/>
      <w:r w:rsidRPr="001D5086">
        <w:rPr>
          <w:sz w:val="24"/>
          <w:szCs w:val="24"/>
          <w:lang w:val="en-AU"/>
        </w:rPr>
        <w:t>as successor of Michael Beyer).</w:t>
      </w:r>
    </w:p>
    <w:p w14:paraId="29E74E76" w14:textId="381FF678" w:rsidR="000C3142" w:rsidRPr="00100F6B" w:rsidRDefault="00EA2754" w:rsidP="000C3142">
      <w:pPr>
        <w:numPr>
          <w:ilvl w:val="0"/>
          <w:numId w:val="16"/>
        </w:numPr>
        <w:rPr>
          <w:bCs/>
          <w:sz w:val="24"/>
          <w:szCs w:val="24"/>
          <w:lang w:val="en-AU"/>
        </w:rPr>
      </w:pPr>
      <w:r w:rsidRPr="00100F6B">
        <w:rPr>
          <w:bCs/>
          <w:sz w:val="24"/>
          <w:szCs w:val="24"/>
          <w:lang w:val="en-AU"/>
        </w:rPr>
        <w:t>New projects</w:t>
      </w:r>
      <w:r w:rsidR="000C3142" w:rsidRPr="00100F6B">
        <w:rPr>
          <w:bCs/>
          <w:sz w:val="24"/>
          <w:szCs w:val="24"/>
          <w:lang w:val="en-AU"/>
        </w:rPr>
        <w:t xml:space="preserve"> of TC 31 and it’s SCs:</w:t>
      </w:r>
    </w:p>
    <w:p w14:paraId="147EE818" w14:textId="3A60551F" w:rsidR="00EA2754" w:rsidRDefault="00100F6B" w:rsidP="005D120F">
      <w:pPr>
        <w:numPr>
          <w:ilvl w:val="1"/>
          <w:numId w:val="16"/>
        </w:numPr>
        <w:rPr>
          <w:bCs/>
          <w:sz w:val="24"/>
          <w:szCs w:val="24"/>
          <w:lang w:val="en-AU"/>
        </w:rPr>
      </w:pPr>
      <w:r>
        <w:rPr>
          <w:bCs/>
          <w:sz w:val="24"/>
          <w:szCs w:val="24"/>
          <w:lang w:val="en-AU"/>
        </w:rPr>
        <w:t>none</w:t>
      </w:r>
    </w:p>
    <w:p w14:paraId="1CAE541D" w14:textId="7EBE7B03" w:rsidR="001D5086" w:rsidRDefault="001D5086" w:rsidP="001D5086">
      <w:pPr>
        <w:numPr>
          <w:ilvl w:val="0"/>
          <w:numId w:val="16"/>
        </w:numPr>
        <w:rPr>
          <w:bCs/>
          <w:sz w:val="24"/>
          <w:szCs w:val="24"/>
          <w:lang w:val="en-AU"/>
        </w:rPr>
      </w:pPr>
      <w:r>
        <w:rPr>
          <w:bCs/>
          <w:sz w:val="24"/>
          <w:szCs w:val="24"/>
          <w:lang w:val="en-AU"/>
        </w:rPr>
        <w:t>Projects offered by CENELEC to IEC TC 31:</w:t>
      </w:r>
    </w:p>
    <w:p w14:paraId="6C821122" w14:textId="7BDA70FB" w:rsidR="001D5086" w:rsidRDefault="001D5086" w:rsidP="001D5086">
      <w:pPr>
        <w:numPr>
          <w:ilvl w:val="1"/>
          <w:numId w:val="16"/>
        </w:numPr>
        <w:rPr>
          <w:bCs/>
          <w:sz w:val="24"/>
          <w:szCs w:val="24"/>
          <w:lang w:val="en-AU"/>
        </w:rPr>
      </w:pPr>
      <w:r w:rsidRPr="001D5086">
        <w:rPr>
          <w:bCs/>
          <w:sz w:val="24"/>
          <w:szCs w:val="24"/>
          <w:lang w:val="en-AU"/>
        </w:rPr>
        <w:t>EN 50303</w:t>
      </w:r>
      <w:r>
        <w:rPr>
          <w:bCs/>
          <w:sz w:val="24"/>
          <w:szCs w:val="24"/>
          <w:lang w:val="en-AU"/>
        </w:rPr>
        <w:t xml:space="preserve"> “</w:t>
      </w:r>
      <w:r w:rsidRPr="001D5086">
        <w:rPr>
          <w:bCs/>
          <w:sz w:val="24"/>
          <w:szCs w:val="24"/>
          <w:lang w:val="en-AU"/>
        </w:rPr>
        <w:t>Group I, Category M1 equipment intended to remain functional in atmospheres endangered by firedamp and/or coal dust</w:t>
      </w:r>
      <w:r>
        <w:rPr>
          <w:bCs/>
          <w:sz w:val="24"/>
          <w:szCs w:val="24"/>
          <w:lang w:val="en-AU"/>
        </w:rPr>
        <w:t>”</w:t>
      </w:r>
      <w:r>
        <w:rPr>
          <w:bCs/>
          <w:sz w:val="24"/>
          <w:szCs w:val="24"/>
          <w:lang w:val="en-AU"/>
        </w:rPr>
        <w:br/>
        <w:t>(</w:t>
      </w:r>
      <w:r w:rsidRPr="001D5086">
        <w:rPr>
          <w:bCs/>
          <w:sz w:val="24"/>
          <w:szCs w:val="24"/>
          <w:lang w:val="en-AU"/>
        </w:rPr>
        <w:sym w:font="Wingdings" w:char="F0E0"/>
      </w:r>
      <w:r>
        <w:rPr>
          <w:bCs/>
          <w:sz w:val="24"/>
          <w:szCs w:val="24"/>
          <w:lang w:val="en-AU"/>
        </w:rPr>
        <w:t xml:space="preserve"> SC 31M/MT80079-38)</w:t>
      </w:r>
    </w:p>
    <w:p w14:paraId="18AC08B8" w14:textId="6F368E65" w:rsidR="003D6D35" w:rsidRPr="001D5086" w:rsidRDefault="001D5086" w:rsidP="006C6F27">
      <w:pPr>
        <w:numPr>
          <w:ilvl w:val="1"/>
          <w:numId w:val="16"/>
        </w:numPr>
        <w:jc w:val="left"/>
        <w:rPr>
          <w:b/>
          <w:sz w:val="24"/>
          <w:szCs w:val="24"/>
          <w:lang w:val="en-AU"/>
        </w:rPr>
      </w:pPr>
      <w:r w:rsidRPr="001D5086">
        <w:rPr>
          <w:bCs/>
          <w:sz w:val="24"/>
          <w:szCs w:val="24"/>
          <w:lang w:val="en-AU"/>
        </w:rPr>
        <w:t>EN 50628 “Erection of electrical installations in underground mines”</w:t>
      </w:r>
      <w:r w:rsidRPr="001D5086">
        <w:rPr>
          <w:bCs/>
          <w:sz w:val="24"/>
          <w:szCs w:val="24"/>
          <w:lang w:val="en-AU"/>
        </w:rPr>
        <w:br/>
        <w:t>(</w:t>
      </w:r>
      <w:r w:rsidRPr="001D5086">
        <w:rPr>
          <w:bCs/>
          <w:sz w:val="24"/>
          <w:szCs w:val="24"/>
          <w:lang w:val="en-AU"/>
        </w:rPr>
        <w:sym w:font="Wingdings" w:char="F0E0"/>
      </w:r>
      <w:r w:rsidRPr="001D5086">
        <w:rPr>
          <w:bCs/>
          <w:sz w:val="24"/>
          <w:szCs w:val="24"/>
          <w:lang w:val="en-AU"/>
        </w:rPr>
        <w:t xml:space="preserve"> SC 31J/WG1)</w:t>
      </w:r>
      <w:r w:rsidR="003D6D35" w:rsidRPr="001D5086">
        <w:rPr>
          <w:b/>
          <w:sz w:val="24"/>
          <w:szCs w:val="24"/>
          <w:lang w:val="en-AU"/>
        </w:rPr>
        <w:br w:type="page"/>
      </w:r>
    </w:p>
    <w:p w14:paraId="6945DC43" w14:textId="277D9197" w:rsidR="001D5086" w:rsidRDefault="001D5086" w:rsidP="00870803">
      <w:pPr>
        <w:rPr>
          <w:b/>
          <w:sz w:val="24"/>
          <w:szCs w:val="24"/>
          <w:lang w:val="en-AU"/>
        </w:rPr>
      </w:pPr>
    </w:p>
    <w:p w14:paraId="1747090D" w14:textId="77777777" w:rsidR="001D5086" w:rsidRDefault="001D5086" w:rsidP="00870803">
      <w:pPr>
        <w:rPr>
          <w:b/>
          <w:sz w:val="24"/>
          <w:szCs w:val="24"/>
          <w:lang w:val="en-AU"/>
        </w:rPr>
      </w:pPr>
    </w:p>
    <w:p w14:paraId="7936536F" w14:textId="62261022" w:rsidR="00EC5FA6" w:rsidRPr="00100F6B" w:rsidRDefault="00EC5FA6" w:rsidP="00870803">
      <w:pPr>
        <w:rPr>
          <w:b/>
          <w:sz w:val="24"/>
          <w:szCs w:val="24"/>
          <w:lang w:val="en-AU"/>
        </w:rPr>
      </w:pPr>
      <w:r w:rsidRPr="00100F6B">
        <w:rPr>
          <w:b/>
          <w:sz w:val="24"/>
          <w:szCs w:val="24"/>
          <w:lang w:val="en-AU"/>
        </w:rPr>
        <w:t>Conclusion</w:t>
      </w:r>
    </w:p>
    <w:p w14:paraId="342BB9DE" w14:textId="77777777" w:rsidR="00870803" w:rsidRPr="00100F6B" w:rsidRDefault="00870803" w:rsidP="00870803">
      <w:pPr>
        <w:rPr>
          <w:b/>
          <w:sz w:val="24"/>
          <w:szCs w:val="24"/>
          <w:lang w:val="en-AU"/>
        </w:rPr>
      </w:pPr>
    </w:p>
    <w:p w14:paraId="0C864CE6" w14:textId="77777777" w:rsidR="00F40126" w:rsidRPr="00100F6B" w:rsidRDefault="00F40126" w:rsidP="00F40126">
      <w:pPr>
        <w:jc w:val="left"/>
        <w:rPr>
          <w:sz w:val="24"/>
          <w:szCs w:val="24"/>
          <w:lang w:val="en-AU"/>
        </w:rPr>
      </w:pPr>
      <w:r w:rsidRPr="00100F6B">
        <w:rPr>
          <w:sz w:val="24"/>
          <w:szCs w:val="24"/>
          <w:lang w:val="en-AU"/>
        </w:rPr>
        <w:t xml:space="preserve">This report summarizes the more significant events </w:t>
      </w:r>
      <w:r w:rsidR="00F60CA3" w:rsidRPr="00100F6B">
        <w:rPr>
          <w:sz w:val="24"/>
          <w:szCs w:val="24"/>
          <w:lang w:val="en-AU"/>
        </w:rPr>
        <w:t xml:space="preserve">and standard developments </w:t>
      </w:r>
      <w:r w:rsidRPr="00100F6B">
        <w:rPr>
          <w:sz w:val="24"/>
          <w:szCs w:val="24"/>
          <w:lang w:val="en-AU"/>
        </w:rPr>
        <w:t>of the past year. We welcome your guidance and suggestions for continued cooperation between TC 31 and IECEx.</w:t>
      </w:r>
    </w:p>
    <w:p w14:paraId="1740BF77" w14:textId="77777777" w:rsidR="00EC5FA6" w:rsidRPr="00100F6B" w:rsidRDefault="00EC5FA6" w:rsidP="00EC5FA6">
      <w:pPr>
        <w:rPr>
          <w:sz w:val="24"/>
          <w:szCs w:val="24"/>
          <w:lang w:val="en-AU"/>
        </w:rPr>
      </w:pPr>
    </w:p>
    <w:p w14:paraId="29FDFCA4" w14:textId="77777777" w:rsidR="00EC5FA6" w:rsidRPr="00100F6B" w:rsidRDefault="00EC5FA6" w:rsidP="00EC5FA6">
      <w:pPr>
        <w:rPr>
          <w:sz w:val="24"/>
          <w:szCs w:val="24"/>
          <w:lang w:val="en-AU"/>
        </w:rPr>
      </w:pPr>
    </w:p>
    <w:p w14:paraId="0FD1F334" w14:textId="77777777" w:rsidR="00F40126" w:rsidRPr="00100F6B" w:rsidRDefault="005B1DA0" w:rsidP="00F40126">
      <w:pPr>
        <w:rPr>
          <w:sz w:val="24"/>
          <w:szCs w:val="24"/>
          <w:lang w:val="en-AU"/>
        </w:rPr>
      </w:pPr>
      <w:r w:rsidRPr="00100F6B">
        <w:rPr>
          <w:sz w:val="24"/>
          <w:szCs w:val="24"/>
          <w:lang w:val="en-AU"/>
        </w:rPr>
        <w:t>Dr Martin Thedens</w:t>
      </w:r>
    </w:p>
    <w:p w14:paraId="046BBA48" w14:textId="77777777" w:rsidR="00476D63" w:rsidRPr="004F506F" w:rsidRDefault="00F40126" w:rsidP="00B5272E">
      <w:pPr>
        <w:rPr>
          <w:color w:val="000000"/>
          <w:sz w:val="24"/>
        </w:rPr>
      </w:pPr>
      <w:r w:rsidRPr="00100F6B">
        <w:rPr>
          <w:sz w:val="24"/>
          <w:szCs w:val="24"/>
          <w:lang w:val="en-AU"/>
        </w:rPr>
        <w:t>Chair IEC Technical Committee 31</w:t>
      </w:r>
    </w:p>
    <w:sectPr w:rsidR="00476D63" w:rsidRPr="004F506F" w:rsidSect="0027367E">
      <w:headerReference w:type="default" r:id="rId9"/>
      <w:footerReference w:type="default" r:id="rId10"/>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7B50" w14:textId="77777777" w:rsidR="00FD1559" w:rsidRDefault="00FD1559">
      <w:r>
        <w:separator/>
      </w:r>
    </w:p>
  </w:endnote>
  <w:endnote w:type="continuationSeparator" w:id="0">
    <w:p w14:paraId="2DDA3F19" w14:textId="77777777" w:rsidR="00FD1559" w:rsidRDefault="00F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0D20" w14:textId="77777777" w:rsidR="00D9291C" w:rsidRPr="00522214" w:rsidRDefault="00D9291C" w:rsidP="00522214">
    <w:pPr>
      <w:pStyle w:val="Footer"/>
      <w:jc w:val="center"/>
      <w:rPr>
        <w:lang w:val="en-US"/>
      </w:rPr>
    </w:pPr>
    <w:r w:rsidRPr="00522214">
      <w:rPr>
        <w:lang w:val="en-US"/>
      </w:rPr>
      <w:t xml:space="preserve">Page </w:t>
    </w:r>
    <w:r w:rsidRPr="00522214">
      <w:rPr>
        <w:lang w:val="en-US"/>
      </w:rPr>
      <w:fldChar w:fldCharType="begin"/>
    </w:r>
    <w:r w:rsidRPr="00522214">
      <w:rPr>
        <w:lang w:val="en-US"/>
      </w:rPr>
      <w:instrText xml:space="preserve"> PAGE </w:instrText>
    </w:r>
    <w:r w:rsidRPr="00522214">
      <w:rPr>
        <w:lang w:val="en-US"/>
      </w:rPr>
      <w:fldChar w:fldCharType="separate"/>
    </w:r>
    <w:r w:rsidR="00DE643A">
      <w:rPr>
        <w:noProof/>
        <w:lang w:val="en-US"/>
      </w:rPr>
      <w:t>7</w:t>
    </w:r>
    <w:r w:rsidRPr="00522214">
      <w:rPr>
        <w:lang w:val="en-US"/>
      </w:rPr>
      <w:fldChar w:fldCharType="end"/>
    </w:r>
    <w:r w:rsidRPr="00522214">
      <w:rPr>
        <w:lang w:val="en-US"/>
      </w:rPr>
      <w:t xml:space="preserve"> of </w:t>
    </w:r>
    <w:r w:rsidRPr="00522214">
      <w:rPr>
        <w:lang w:val="en-US"/>
      </w:rPr>
      <w:fldChar w:fldCharType="begin"/>
    </w:r>
    <w:r w:rsidRPr="00522214">
      <w:rPr>
        <w:lang w:val="en-US"/>
      </w:rPr>
      <w:instrText xml:space="preserve"> NUMPAGES </w:instrText>
    </w:r>
    <w:r w:rsidRPr="00522214">
      <w:rPr>
        <w:lang w:val="en-US"/>
      </w:rPr>
      <w:fldChar w:fldCharType="separate"/>
    </w:r>
    <w:r w:rsidR="00DE643A">
      <w:rPr>
        <w:noProof/>
        <w:lang w:val="en-US"/>
      </w:rPr>
      <w:t>7</w:t>
    </w:r>
    <w:r w:rsidRPr="00522214">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1776" w14:textId="77777777" w:rsidR="00FD1559" w:rsidRDefault="00FD1559">
      <w:r>
        <w:separator/>
      </w:r>
    </w:p>
  </w:footnote>
  <w:footnote w:type="continuationSeparator" w:id="0">
    <w:p w14:paraId="1D6AB826" w14:textId="77777777" w:rsidR="00FD1559" w:rsidRDefault="00FD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5BBF" w14:textId="2CBC2786" w:rsidR="00D9291C" w:rsidRDefault="003D6D35" w:rsidP="00D46468">
    <w:pPr>
      <w:pStyle w:val="Header"/>
      <w:tabs>
        <w:tab w:val="clear" w:pos="9072"/>
        <w:tab w:val="left" w:pos="6663"/>
      </w:tabs>
      <w:ind w:left="-284"/>
      <w:jc w:val="left"/>
      <w:rPr>
        <w:b/>
        <w:color w:val="000000"/>
        <w:sz w:val="22"/>
        <w:szCs w:val="22"/>
      </w:rPr>
    </w:pPr>
    <w:r>
      <w:rPr>
        <w:noProof/>
        <w:color w:val="000099"/>
      </w:rPr>
      <w:drawing>
        <wp:anchor distT="0" distB="0" distL="114300" distR="114300" simplePos="0" relativeHeight="251658240" behindDoc="0" locked="0" layoutInCell="1" allowOverlap="1" wp14:anchorId="09F8294D" wp14:editId="482308C3">
          <wp:simplePos x="0" y="0"/>
          <wp:positionH relativeFrom="column">
            <wp:posOffset>-498475</wp:posOffset>
          </wp:positionH>
          <wp:positionV relativeFrom="paragraph">
            <wp:posOffset>-255270</wp:posOffset>
          </wp:positionV>
          <wp:extent cx="752475" cy="647700"/>
          <wp:effectExtent l="0" t="0" r="9525" b="0"/>
          <wp:wrapSquare wrapText="r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91C">
      <w:rPr>
        <w:color w:val="000099"/>
      </w:rPr>
      <w:tab/>
    </w:r>
    <w:r w:rsidR="00D9291C">
      <w:rPr>
        <w:color w:val="000099"/>
      </w:rPr>
      <w:tab/>
    </w:r>
    <w:r>
      <w:rPr>
        <w:color w:val="000099"/>
      </w:rPr>
      <w:tab/>
    </w:r>
    <w:proofErr w:type="spellStart"/>
    <w:r w:rsidR="00D9291C" w:rsidRPr="00953349">
      <w:rPr>
        <w:b/>
        <w:sz w:val="22"/>
      </w:rPr>
      <w:t>ExMC</w:t>
    </w:r>
    <w:proofErr w:type="spellEnd"/>
    <w:r w:rsidR="00D9291C" w:rsidRPr="00953349">
      <w:rPr>
        <w:b/>
        <w:sz w:val="22"/>
      </w:rPr>
      <w:t>/</w:t>
    </w:r>
    <w:r w:rsidR="005B3BF4">
      <w:rPr>
        <w:b/>
        <w:sz w:val="22"/>
      </w:rPr>
      <w:t>1890</w:t>
    </w:r>
    <w:r>
      <w:rPr>
        <w:b/>
        <w:sz w:val="22"/>
      </w:rPr>
      <w:t>/R</w:t>
    </w:r>
  </w:p>
  <w:p w14:paraId="6508A2F9" w14:textId="5A5627C9" w:rsidR="00D9291C" w:rsidRDefault="00D9291C" w:rsidP="00B0322A">
    <w:pPr>
      <w:pStyle w:val="Header"/>
      <w:tabs>
        <w:tab w:val="left" w:pos="6663"/>
      </w:tabs>
      <w:jc w:val="center"/>
      <w:rPr>
        <w:b/>
        <w:color w:val="000000"/>
        <w:sz w:val="22"/>
        <w:szCs w:val="22"/>
      </w:rPr>
    </w:pPr>
    <w:r>
      <w:rPr>
        <w:b/>
        <w:color w:val="000000"/>
        <w:sz w:val="22"/>
        <w:szCs w:val="22"/>
      </w:rPr>
      <w:tab/>
    </w:r>
    <w:r>
      <w:rPr>
        <w:b/>
        <w:color w:val="000000"/>
        <w:sz w:val="22"/>
        <w:szCs w:val="22"/>
      </w:rPr>
      <w:tab/>
    </w:r>
    <w:r w:rsidR="00464751">
      <w:rPr>
        <w:b/>
        <w:color w:val="000000"/>
        <w:sz w:val="22"/>
        <w:szCs w:val="22"/>
      </w:rPr>
      <w:t>September</w:t>
    </w:r>
    <w:r>
      <w:rPr>
        <w:b/>
        <w:color w:val="000000"/>
        <w:sz w:val="22"/>
        <w:szCs w:val="22"/>
      </w:rPr>
      <w:t xml:space="preserve"> </w:t>
    </w:r>
    <w:r w:rsidR="005B1DA0">
      <w:rPr>
        <w:b/>
        <w:color w:val="000000"/>
        <w:sz w:val="22"/>
        <w:szCs w:val="22"/>
      </w:rPr>
      <w:t>202</w:t>
    </w:r>
    <w:r w:rsidR="00464751">
      <w:rPr>
        <w:b/>
        <w:color w:val="000000"/>
        <w:sz w:val="22"/>
        <w:szCs w:val="22"/>
      </w:rPr>
      <w:t>2</w:t>
    </w:r>
  </w:p>
  <w:p w14:paraId="17611C93" w14:textId="77777777" w:rsidR="00D9291C" w:rsidRPr="00636C7C" w:rsidRDefault="00D9291C" w:rsidP="002C2036">
    <w:pPr>
      <w:pStyle w:val="Header"/>
      <w:jc w:val="right"/>
      <w:rPr>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E136E8"/>
    <w:multiLevelType w:val="hybridMultilevel"/>
    <w:tmpl w:val="1D26A68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95F3734"/>
    <w:multiLevelType w:val="hybridMultilevel"/>
    <w:tmpl w:val="E4985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C2203"/>
    <w:multiLevelType w:val="hybridMultilevel"/>
    <w:tmpl w:val="18BC3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D881F95"/>
    <w:multiLevelType w:val="hybridMultilevel"/>
    <w:tmpl w:val="C34A7248"/>
    <w:lvl w:ilvl="0" w:tplc="DA186D7E">
      <w:start w:val="2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28692A"/>
    <w:multiLevelType w:val="hybridMultilevel"/>
    <w:tmpl w:val="59D25D2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1" w15:restartNumberingAfterBreak="0">
    <w:nsid w:val="2C9C103B"/>
    <w:multiLevelType w:val="hybridMultilevel"/>
    <w:tmpl w:val="17520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B867D5"/>
    <w:multiLevelType w:val="hybridMultilevel"/>
    <w:tmpl w:val="8D64C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4" w15:restartNumberingAfterBreak="0">
    <w:nsid w:val="357914BF"/>
    <w:multiLevelType w:val="hybridMultilevel"/>
    <w:tmpl w:val="028C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8D20FE5"/>
    <w:multiLevelType w:val="hybridMultilevel"/>
    <w:tmpl w:val="A68A8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B11435"/>
    <w:multiLevelType w:val="hybridMultilevel"/>
    <w:tmpl w:val="59D25D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D75009"/>
    <w:multiLevelType w:val="hybridMultilevel"/>
    <w:tmpl w:val="C720C9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2"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63EC30AA"/>
    <w:multiLevelType w:val="hybridMultilevel"/>
    <w:tmpl w:val="84D4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FB5E71"/>
    <w:multiLevelType w:val="hybridMultilevel"/>
    <w:tmpl w:val="59D25D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0"/>
  </w:num>
  <w:num w:numId="2">
    <w:abstractNumId w:val="22"/>
  </w:num>
  <w:num w:numId="3">
    <w:abstractNumId w:val="15"/>
  </w:num>
  <w:num w:numId="4">
    <w:abstractNumId w:val="21"/>
  </w:num>
  <w:num w:numId="5">
    <w:abstractNumId w:val="13"/>
  </w:num>
  <w:num w:numId="6">
    <w:abstractNumId w:val="10"/>
  </w:num>
  <w:num w:numId="7">
    <w:abstractNumId w:val="2"/>
  </w:num>
  <w:num w:numId="8">
    <w:abstractNumId w:val="19"/>
  </w:num>
  <w:num w:numId="9">
    <w:abstractNumId w:val="4"/>
  </w:num>
  <w:num w:numId="10">
    <w:abstractNumId w:val="20"/>
  </w:num>
  <w:num w:numId="11">
    <w:abstractNumId w:val="7"/>
  </w:num>
  <w:num w:numId="12">
    <w:abstractNumId w:val="25"/>
  </w:num>
  <w:num w:numId="13">
    <w:abstractNumId w:val="5"/>
  </w:num>
  <w:num w:numId="14">
    <w:abstractNumId w:val="18"/>
  </w:num>
  <w:num w:numId="15">
    <w:abstractNumId w:val="12"/>
  </w:num>
  <w:num w:numId="16">
    <w:abstractNumId w:val="23"/>
  </w:num>
  <w:num w:numId="17">
    <w:abstractNumId w:val="14"/>
  </w:num>
  <w:num w:numId="18">
    <w:abstractNumId w:val="11"/>
  </w:num>
  <w:num w:numId="19">
    <w:abstractNumId w:val="16"/>
  </w:num>
  <w:num w:numId="20">
    <w:abstractNumId w:val="6"/>
  </w:num>
  <w:num w:numId="21">
    <w:abstractNumId w:val="1"/>
  </w:num>
  <w:num w:numId="22">
    <w:abstractNumId w:val="3"/>
  </w:num>
  <w:num w:numId="23">
    <w:abstractNumId w:val="8"/>
  </w:num>
  <w:num w:numId="24">
    <w:abstractNumId w:val="9"/>
  </w:num>
  <w:num w:numId="25">
    <w:abstractNumId w:val="17"/>
  </w:num>
  <w:num w:numId="2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2D"/>
    <w:rsid w:val="00001237"/>
    <w:rsid w:val="00001FB9"/>
    <w:rsid w:val="00002FB1"/>
    <w:rsid w:val="000050F3"/>
    <w:rsid w:val="00011B73"/>
    <w:rsid w:val="000120DB"/>
    <w:rsid w:val="00012627"/>
    <w:rsid w:val="00015572"/>
    <w:rsid w:val="0002019F"/>
    <w:rsid w:val="0002388A"/>
    <w:rsid w:val="000423B3"/>
    <w:rsid w:val="00054A22"/>
    <w:rsid w:val="00062587"/>
    <w:rsid w:val="00070536"/>
    <w:rsid w:val="00085896"/>
    <w:rsid w:val="000873EC"/>
    <w:rsid w:val="00093284"/>
    <w:rsid w:val="000A52E3"/>
    <w:rsid w:val="000A621F"/>
    <w:rsid w:val="000A7FB4"/>
    <w:rsid w:val="000B1F5F"/>
    <w:rsid w:val="000B2660"/>
    <w:rsid w:val="000B7749"/>
    <w:rsid w:val="000C243E"/>
    <w:rsid w:val="000C3142"/>
    <w:rsid w:val="000C7979"/>
    <w:rsid w:val="000D1B5D"/>
    <w:rsid w:val="000D3651"/>
    <w:rsid w:val="000D7067"/>
    <w:rsid w:val="000E1771"/>
    <w:rsid w:val="000E4E90"/>
    <w:rsid w:val="000F07D1"/>
    <w:rsid w:val="000F26C5"/>
    <w:rsid w:val="00100F6B"/>
    <w:rsid w:val="00104209"/>
    <w:rsid w:val="00104A2A"/>
    <w:rsid w:val="00112314"/>
    <w:rsid w:val="00112A31"/>
    <w:rsid w:val="00114A64"/>
    <w:rsid w:val="00115837"/>
    <w:rsid w:val="00115E5F"/>
    <w:rsid w:val="00121E25"/>
    <w:rsid w:val="0013046D"/>
    <w:rsid w:val="00137623"/>
    <w:rsid w:val="00143CDD"/>
    <w:rsid w:val="001450EE"/>
    <w:rsid w:val="001467A5"/>
    <w:rsid w:val="001479CB"/>
    <w:rsid w:val="00154A6B"/>
    <w:rsid w:val="001561E6"/>
    <w:rsid w:val="00157A82"/>
    <w:rsid w:val="00162437"/>
    <w:rsid w:val="001627CF"/>
    <w:rsid w:val="00172654"/>
    <w:rsid w:val="0018007B"/>
    <w:rsid w:val="001865C8"/>
    <w:rsid w:val="00194989"/>
    <w:rsid w:val="00194A51"/>
    <w:rsid w:val="00197B77"/>
    <w:rsid w:val="001A1DA7"/>
    <w:rsid w:val="001A3EF4"/>
    <w:rsid w:val="001B1E67"/>
    <w:rsid w:val="001B4541"/>
    <w:rsid w:val="001B5346"/>
    <w:rsid w:val="001D0FF1"/>
    <w:rsid w:val="001D1ADC"/>
    <w:rsid w:val="001D1D5C"/>
    <w:rsid w:val="001D3474"/>
    <w:rsid w:val="001D5086"/>
    <w:rsid w:val="001D5F2B"/>
    <w:rsid w:val="001D6EE2"/>
    <w:rsid w:val="001E0646"/>
    <w:rsid w:val="001E3046"/>
    <w:rsid w:val="001F034F"/>
    <w:rsid w:val="001F5E00"/>
    <w:rsid w:val="002035FF"/>
    <w:rsid w:val="00205E04"/>
    <w:rsid w:val="00211935"/>
    <w:rsid w:val="00212A8F"/>
    <w:rsid w:val="00217C29"/>
    <w:rsid w:val="00217FAB"/>
    <w:rsid w:val="00222553"/>
    <w:rsid w:val="0022324A"/>
    <w:rsid w:val="002263CB"/>
    <w:rsid w:val="002332AD"/>
    <w:rsid w:val="0023767F"/>
    <w:rsid w:val="00243F8A"/>
    <w:rsid w:val="00246F6B"/>
    <w:rsid w:val="002478B7"/>
    <w:rsid w:val="00247A05"/>
    <w:rsid w:val="002552C5"/>
    <w:rsid w:val="00257F41"/>
    <w:rsid w:val="00261C3E"/>
    <w:rsid w:val="00262BC2"/>
    <w:rsid w:val="00264D69"/>
    <w:rsid w:val="0027367E"/>
    <w:rsid w:val="0027544D"/>
    <w:rsid w:val="00275938"/>
    <w:rsid w:val="002761B4"/>
    <w:rsid w:val="00281773"/>
    <w:rsid w:val="00282FA0"/>
    <w:rsid w:val="00284099"/>
    <w:rsid w:val="00287355"/>
    <w:rsid w:val="00290377"/>
    <w:rsid w:val="00291B45"/>
    <w:rsid w:val="00296A50"/>
    <w:rsid w:val="00296C48"/>
    <w:rsid w:val="002B1A1D"/>
    <w:rsid w:val="002B2A86"/>
    <w:rsid w:val="002B614F"/>
    <w:rsid w:val="002B6DB4"/>
    <w:rsid w:val="002B7777"/>
    <w:rsid w:val="002C04FF"/>
    <w:rsid w:val="002C2036"/>
    <w:rsid w:val="002D07DE"/>
    <w:rsid w:val="002D16F9"/>
    <w:rsid w:val="002D5B01"/>
    <w:rsid w:val="002E2418"/>
    <w:rsid w:val="002E7103"/>
    <w:rsid w:val="002F17BC"/>
    <w:rsid w:val="002F44CB"/>
    <w:rsid w:val="002F548F"/>
    <w:rsid w:val="00300445"/>
    <w:rsid w:val="00301A7F"/>
    <w:rsid w:val="00303E78"/>
    <w:rsid w:val="00305CAE"/>
    <w:rsid w:val="0031055D"/>
    <w:rsid w:val="0031176B"/>
    <w:rsid w:val="003159F0"/>
    <w:rsid w:val="00323707"/>
    <w:rsid w:val="00323C8D"/>
    <w:rsid w:val="0033721C"/>
    <w:rsid w:val="00351CAF"/>
    <w:rsid w:val="00353268"/>
    <w:rsid w:val="0035598C"/>
    <w:rsid w:val="003655A4"/>
    <w:rsid w:val="00371E0B"/>
    <w:rsid w:val="003735F9"/>
    <w:rsid w:val="00376B3D"/>
    <w:rsid w:val="00380EAE"/>
    <w:rsid w:val="003831A4"/>
    <w:rsid w:val="003844B2"/>
    <w:rsid w:val="00385984"/>
    <w:rsid w:val="003859DD"/>
    <w:rsid w:val="00387808"/>
    <w:rsid w:val="003879B0"/>
    <w:rsid w:val="00392D4B"/>
    <w:rsid w:val="00393E79"/>
    <w:rsid w:val="003A3FEC"/>
    <w:rsid w:val="003A586B"/>
    <w:rsid w:val="003A6E1D"/>
    <w:rsid w:val="003A7257"/>
    <w:rsid w:val="003B0B1A"/>
    <w:rsid w:val="003C3BCF"/>
    <w:rsid w:val="003C5F44"/>
    <w:rsid w:val="003C7FAD"/>
    <w:rsid w:val="003D20BF"/>
    <w:rsid w:val="003D2391"/>
    <w:rsid w:val="003D6D35"/>
    <w:rsid w:val="003D73C8"/>
    <w:rsid w:val="003E0408"/>
    <w:rsid w:val="003E4157"/>
    <w:rsid w:val="003E6C06"/>
    <w:rsid w:val="003E761F"/>
    <w:rsid w:val="004006F9"/>
    <w:rsid w:val="00401F20"/>
    <w:rsid w:val="00403353"/>
    <w:rsid w:val="00403F90"/>
    <w:rsid w:val="004165B6"/>
    <w:rsid w:val="004173D4"/>
    <w:rsid w:val="00420D73"/>
    <w:rsid w:val="004221F2"/>
    <w:rsid w:val="00425486"/>
    <w:rsid w:val="004257B7"/>
    <w:rsid w:val="004315B0"/>
    <w:rsid w:val="00433105"/>
    <w:rsid w:val="00434DC9"/>
    <w:rsid w:val="004366C3"/>
    <w:rsid w:val="00436AE9"/>
    <w:rsid w:val="00437508"/>
    <w:rsid w:val="004427B5"/>
    <w:rsid w:val="00443898"/>
    <w:rsid w:val="0044554D"/>
    <w:rsid w:val="00446E34"/>
    <w:rsid w:val="00447492"/>
    <w:rsid w:val="00447E24"/>
    <w:rsid w:val="00450213"/>
    <w:rsid w:val="00451DD0"/>
    <w:rsid w:val="00453B98"/>
    <w:rsid w:val="0045607F"/>
    <w:rsid w:val="004574AF"/>
    <w:rsid w:val="00463DE0"/>
    <w:rsid w:val="00464751"/>
    <w:rsid w:val="004744A9"/>
    <w:rsid w:val="00476D63"/>
    <w:rsid w:val="00486A8D"/>
    <w:rsid w:val="004947F9"/>
    <w:rsid w:val="0049588D"/>
    <w:rsid w:val="004B1E8D"/>
    <w:rsid w:val="004B22E5"/>
    <w:rsid w:val="004B3975"/>
    <w:rsid w:val="004B5302"/>
    <w:rsid w:val="004B6274"/>
    <w:rsid w:val="004C5569"/>
    <w:rsid w:val="004D5884"/>
    <w:rsid w:val="004D6643"/>
    <w:rsid w:val="004E3DF9"/>
    <w:rsid w:val="004E4FAB"/>
    <w:rsid w:val="004E5DE1"/>
    <w:rsid w:val="004F0CB0"/>
    <w:rsid w:val="004F275E"/>
    <w:rsid w:val="004F2B25"/>
    <w:rsid w:val="004F506F"/>
    <w:rsid w:val="004F7516"/>
    <w:rsid w:val="00501D04"/>
    <w:rsid w:val="005021B2"/>
    <w:rsid w:val="005022E8"/>
    <w:rsid w:val="005025D6"/>
    <w:rsid w:val="00502A51"/>
    <w:rsid w:val="005063B8"/>
    <w:rsid w:val="00512733"/>
    <w:rsid w:val="00513D8C"/>
    <w:rsid w:val="00516622"/>
    <w:rsid w:val="00521DAA"/>
    <w:rsid w:val="00522214"/>
    <w:rsid w:val="00522695"/>
    <w:rsid w:val="00532518"/>
    <w:rsid w:val="00533139"/>
    <w:rsid w:val="00534D5E"/>
    <w:rsid w:val="0054096B"/>
    <w:rsid w:val="00543BFC"/>
    <w:rsid w:val="00545D39"/>
    <w:rsid w:val="00547584"/>
    <w:rsid w:val="0055126F"/>
    <w:rsid w:val="005528F4"/>
    <w:rsid w:val="00561584"/>
    <w:rsid w:val="005645FE"/>
    <w:rsid w:val="00566293"/>
    <w:rsid w:val="00572CBF"/>
    <w:rsid w:val="00574330"/>
    <w:rsid w:val="00583F55"/>
    <w:rsid w:val="00586028"/>
    <w:rsid w:val="00587D88"/>
    <w:rsid w:val="00590008"/>
    <w:rsid w:val="0059170F"/>
    <w:rsid w:val="00592354"/>
    <w:rsid w:val="005927B0"/>
    <w:rsid w:val="00592D9A"/>
    <w:rsid w:val="00594492"/>
    <w:rsid w:val="005A2044"/>
    <w:rsid w:val="005B1DA0"/>
    <w:rsid w:val="005B3BF4"/>
    <w:rsid w:val="005B7E2D"/>
    <w:rsid w:val="005D2E59"/>
    <w:rsid w:val="005D4C5B"/>
    <w:rsid w:val="005D5F44"/>
    <w:rsid w:val="005D6B3C"/>
    <w:rsid w:val="005D77C9"/>
    <w:rsid w:val="005E1AA0"/>
    <w:rsid w:val="005E2F6D"/>
    <w:rsid w:val="005E7F30"/>
    <w:rsid w:val="005F4CE4"/>
    <w:rsid w:val="00605A0D"/>
    <w:rsid w:val="00607FBD"/>
    <w:rsid w:val="00611837"/>
    <w:rsid w:val="0061418B"/>
    <w:rsid w:val="006218BF"/>
    <w:rsid w:val="00627728"/>
    <w:rsid w:val="0063305A"/>
    <w:rsid w:val="00636C7C"/>
    <w:rsid w:val="00637580"/>
    <w:rsid w:val="006435E4"/>
    <w:rsid w:val="00645CE3"/>
    <w:rsid w:val="00646078"/>
    <w:rsid w:val="00646CFC"/>
    <w:rsid w:val="00654901"/>
    <w:rsid w:val="00654AA4"/>
    <w:rsid w:val="00656967"/>
    <w:rsid w:val="00657A51"/>
    <w:rsid w:val="00671565"/>
    <w:rsid w:val="00681930"/>
    <w:rsid w:val="00681BD9"/>
    <w:rsid w:val="00684386"/>
    <w:rsid w:val="006852A4"/>
    <w:rsid w:val="006927F9"/>
    <w:rsid w:val="006931C1"/>
    <w:rsid w:val="00694B93"/>
    <w:rsid w:val="00697AEB"/>
    <w:rsid w:val="006A0C23"/>
    <w:rsid w:val="006B0BE1"/>
    <w:rsid w:val="006B1AF4"/>
    <w:rsid w:val="006B4902"/>
    <w:rsid w:val="006B515B"/>
    <w:rsid w:val="006B5E50"/>
    <w:rsid w:val="006C039F"/>
    <w:rsid w:val="006C754B"/>
    <w:rsid w:val="006D20CA"/>
    <w:rsid w:val="006D3220"/>
    <w:rsid w:val="006D631C"/>
    <w:rsid w:val="006E2C4C"/>
    <w:rsid w:val="006E2F7C"/>
    <w:rsid w:val="006E34D9"/>
    <w:rsid w:val="006F33FA"/>
    <w:rsid w:val="006F3B90"/>
    <w:rsid w:val="00707156"/>
    <w:rsid w:val="007111A4"/>
    <w:rsid w:val="00715268"/>
    <w:rsid w:val="0071579F"/>
    <w:rsid w:val="0071659F"/>
    <w:rsid w:val="0071679B"/>
    <w:rsid w:val="007222A3"/>
    <w:rsid w:val="007226F4"/>
    <w:rsid w:val="00730109"/>
    <w:rsid w:val="00731BA2"/>
    <w:rsid w:val="00733967"/>
    <w:rsid w:val="00736974"/>
    <w:rsid w:val="00740CC6"/>
    <w:rsid w:val="00741182"/>
    <w:rsid w:val="00742CD1"/>
    <w:rsid w:val="00743234"/>
    <w:rsid w:val="00743C1F"/>
    <w:rsid w:val="00747157"/>
    <w:rsid w:val="00752980"/>
    <w:rsid w:val="00752E1C"/>
    <w:rsid w:val="00761B9F"/>
    <w:rsid w:val="00764B17"/>
    <w:rsid w:val="0076628A"/>
    <w:rsid w:val="00772D90"/>
    <w:rsid w:val="00775797"/>
    <w:rsid w:val="00775F29"/>
    <w:rsid w:val="007767E5"/>
    <w:rsid w:val="007770EA"/>
    <w:rsid w:val="007808CD"/>
    <w:rsid w:val="00781B20"/>
    <w:rsid w:val="00783A46"/>
    <w:rsid w:val="007842B0"/>
    <w:rsid w:val="007878A0"/>
    <w:rsid w:val="00790F15"/>
    <w:rsid w:val="00793C90"/>
    <w:rsid w:val="007A524D"/>
    <w:rsid w:val="007B0688"/>
    <w:rsid w:val="007B5882"/>
    <w:rsid w:val="007C0A26"/>
    <w:rsid w:val="007C2874"/>
    <w:rsid w:val="007C52FD"/>
    <w:rsid w:val="007C7123"/>
    <w:rsid w:val="007C730A"/>
    <w:rsid w:val="007D28E6"/>
    <w:rsid w:val="007D2FDE"/>
    <w:rsid w:val="007D5AD6"/>
    <w:rsid w:val="007E221E"/>
    <w:rsid w:val="007E66C4"/>
    <w:rsid w:val="007E6B9F"/>
    <w:rsid w:val="008038BA"/>
    <w:rsid w:val="008075A6"/>
    <w:rsid w:val="00817E81"/>
    <w:rsid w:val="00824426"/>
    <w:rsid w:val="00830930"/>
    <w:rsid w:val="00832D42"/>
    <w:rsid w:val="008339D4"/>
    <w:rsid w:val="00834BE1"/>
    <w:rsid w:val="00835781"/>
    <w:rsid w:val="00842945"/>
    <w:rsid w:val="0084426A"/>
    <w:rsid w:val="00846655"/>
    <w:rsid w:val="00852E18"/>
    <w:rsid w:val="00853159"/>
    <w:rsid w:val="008555FF"/>
    <w:rsid w:val="00870726"/>
    <w:rsid w:val="00870803"/>
    <w:rsid w:val="00870986"/>
    <w:rsid w:val="00885BD0"/>
    <w:rsid w:val="00885F5C"/>
    <w:rsid w:val="00887EDF"/>
    <w:rsid w:val="00895E06"/>
    <w:rsid w:val="008A1BB3"/>
    <w:rsid w:val="008A262A"/>
    <w:rsid w:val="008A4549"/>
    <w:rsid w:val="008A508C"/>
    <w:rsid w:val="008B0D81"/>
    <w:rsid w:val="008C3832"/>
    <w:rsid w:val="008C4695"/>
    <w:rsid w:val="008D1527"/>
    <w:rsid w:val="008D15FA"/>
    <w:rsid w:val="008D1615"/>
    <w:rsid w:val="008D5403"/>
    <w:rsid w:val="008D6B6C"/>
    <w:rsid w:val="008F1BFD"/>
    <w:rsid w:val="00904ABE"/>
    <w:rsid w:val="00904D4B"/>
    <w:rsid w:val="00906051"/>
    <w:rsid w:val="00911AEC"/>
    <w:rsid w:val="00912807"/>
    <w:rsid w:val="00921755"/>
    <w:rsid w:val="00921C42"/>
    <w:rsid w:val="00931B17"/>
    <w:rsid w:val="00935AA2"/>
    <w:rsid w:val="00935D4D"/>
    <w:rsid w:val="00937001"/>
    <w:rsid w:val="00943604"/>
    <w:rsid w:val="00953349"/>
    <w:rsid w:val="0095422C"/>
    <w:rsid w:val="0096218E"/>
    <w:rsid w:val="009664B1"/>
    <w:rsid w:val="009702DE"/>
    <w:rsid w:val="00975EDB"/>
    <w:rsid w:val="0098140C"/>
    <w:rsid w:val="00985E13"/>
    <w:rsid w:val="00987A51"/>
    <w:rsid w:val="00992A47"/>
    <w:rsid w:val="0099630B"/>
    <w:rsid w:val="009B014B"/>
    <w:rsid w:val="009B4152"/>
    <w:rsid w:val="009B650D"/>
    <w:rsid w:val="009B75B7"/>
    <w:rsid w:val="009C2D1C"/>
    <w:rsid w:val="009C4BBB"/>
    <w:rsid w:val="009D3B63"/>
    <w:rsid w:val="009D56CA"/>
    <w:rsid w:val="009D7E42"/>
    <w:rsid w:val="009E3BED"/>
    <w:rsid w:val="009F3606"/>
    <w:rsid w:val="009F470F"/>
    <w:rsid w:val="009F67AE"/>
    <w:rsid w:val="00A02C15"/>
    <w:rsid w:val="00A12D73"/>
    <w:rsid w:val="00A1462C"/>
    <w:rsid w:val="00A215B9"/>
    <w:rsid w:val="00A47C43"/>
    <w:rsid w:val="00A527BA"/>
    <w:rsid w:val="00A530AA"/>
    <w:rsid w:val="00A53F96"/>
    <w:rsid w:val="00A64AB8"/>
    <w:rsid w:val="00A64E65"/>
    <w:rsid w:val="00A80837"/>
    <w:rsid w:val="00A810F1"/>
    <w:rsid w:val="00A816CA"/>
    <w:rsid w:val="00A81853"/>
    <w:rsid w:val="00A83180"/>
    <w:rsid w:val="00A83F47"/>
    <w:rsid w:val="00A840DA"/>
    <w:rsid w:val="00A84630"/>
    <w:rsid w:val="00A86C66"/>
    <w:rsid w:val="00A870B3"/>
    <w:rsid w:val="00A944A7"/>
    <w:rsid w:val="00AA04E8"/>
    <w:rsid w:val="00AA0B22"/>
    <w:rsid w:val="00AA5446"/>
    <w:rsid w:val="00AA6987"/>
    <w:rsid w:val="00AA7F96"/>
    <w:rsid w:val="00AB7B1C"/>
    <w:rsid w:val="00AC4415"/>
    <w:rsid w:val="00AC54C8"/>
    <w:rsid w:val="00AC7233"/>
    <w:rsid w:val="00AD4087"/>
    <w:rsid w:val="00AD695A"/>
    <w:rsid w:val="00AD751B"/>
    <w:rsid w:val="00AE0C44"/>
    <w:rsid w:val="00AF1767"/>
    <w:rsid w:val="00AF2046"/>
    <w:rsid w:val="00B022F3"/>
    <w:rsid w:val="00B02684"/>
    <w:rsid w:val="00B0322A"/>
    <w:rsid w:val="00B05EA5"/>
    <w:rsid w:val="00B0620B"/>
    <w:rsid w:val="00B07316"/>
    <w:rsid w:val="00B13FDF"/>
    <w:rsid w:val="00B3756A"/>
    <w:rsid w:val="00B42716"/>
    <w:rsid w:val="00B43217"/>
    <w:rsid w:val="00B46FC3"/>
    <w:rsid w:val="00B506F4"/>
    <w:rsid w:val="00B50E17"/>
    <w:rsid w:val="00B5272E"/>
    <w:rsid w:val="00B57329"/>
    <w:rsid w:val="00B61397"/>
    <w:rsid w:val="00B62DB5"/>
    <w:rsid w:val="00B62EAD"/>
    <w:rsid w:val="00B64AF4"/>
    <w:rsid w:val="00B65D04"/>
    <w:rsid w:val="00B6641F"/>
    <w:rsid w:val="00B67F9B"/>
    <w:rsid w:val="00B72841"/>
    <w:rsid w:val="00B74743"/>
    <w:rsid w:val="00B7567A"/>
    <w:rsid w:val="00B856F8"/>
    <w:rsid w:val="00B930A4"/>
    <w:rsid w:val="00BA3AC5"/>
    <w:rsid w:val="00BA5295"/>
    <w:rsid w:val="00BC2FA6"/>
    <w:rsid w:val="00BC452E"/>
    <w:rsid w:val="00BC4B1C"/>
    <w:rsid w:val="00BC7D92"/>
    <w:rsid w:val="00BD088E"/>
    <w:rsid w:val="00BD43E0"/>
    <w:rsid w:val="00BD51BB"/>
    <w:rsid w:val="00BD5573"/>
    <w:rsid w:val="00BD5B12"/>
    <w:rsid w:val="00BD76DF"/>
    <w:rsid w:val="00BE0D8A"/>
    <w:rsid w:val="00BE24C2"/>
    <w:rsid w:val="00BE734C"/>
    <w:rsid w:val="00BF4875"/>
    <w:rsid w:val="00BF4B5A"/>
    <w:rsid w:val="00BF717A"/>
    <w:rsid w:val="00BF7C0E"/>
    <w:rsid w:val="00C05194"/>
    <w:rsid w:val="00C11EA7"/>
    <w:rsid w:val="00C15365"/>
    <w:rsid w:val="00C15CCD"/>
    <w:rsid w:val="00C168D7"/>
    <w:rsid w:val="00C2037E"/>
    <w:rsid w:val="00C24C92"/>
    <w:rsid w:val="00C342AB"/>
    <w:rsid w:val="00C41BD8"/>
    <w:rsid w:val="00C42A84"/>
    <w:rsid w:val="00C4417F"/>
    <w:rsid w:val="00C53E11"/>
    <w:rsid w:val="00C57766"/>
    <w:rsid w:val="00C620CC"/>
    <w:rsid w:val="00C66952"/>
    <w:rsid w:val="00C81E41"/>
    <w:rsid w:val="00CA0403"/>
    <w:rsid w:val="00CA38E7"/>
    <w:rsid w:val="00CA52C8"/>
    <w:rsid w:val="00CB05E5"/>
    <w:rsid w:val="00CB1CCF"/>
    <w:rsid w:val="00CB1EDB"/>
    <w:rsid w:val="00CB2661"/>
    <w:rsid w:val="00CB2964"/>
    <w:rsid w:val="00CB72B8"/>
    <w:rsid w:val="00CD1E4C"/>
    <w:rsid w:val="00CD2B50"/>
    <w:rsid w:val="00CE6161"/>
    <w:rsid w:val="00CE6721"/>
    <w:rsid w:val="00CF7B2C"/>
    <w:rsid w:val="00D01A2D"/>
    <w:rsid w:val="00D0422A"/>
    <w:rsid w:val="00D043C1"/>
    <w:rsid w:val="00D05FBA"/>
    <w:rsid w:val="00D07095"/>
    <w:rsid w:val="00D1305F"/>
    <w:rsid w:val="00D1770B"/>
    <w:rsid w:val="00D20B0F"/>
    <w:rsid w:val="00D2220C"/>
    <w:rsid w:val="00D31F0F"/>
    <w:rsid w:val="00D44977"/>
    <w:rsid w:val="00D449BA"/>
    <w:rsid w:val="00D46468"/>
    <w:rsid w:val="00D47BA1"/>
    <w:rsid w:val="00D5117A"/>
    <w:rsid w:val="00D62E04"/>
    <w:rsid w:val="00D63D2E"/>
    <w:rsid w:val="00D71812"/>
    <w:rsid w:val="00D8268C"/>
    <w:rsid w:val="00D910DD"/>
    <w:rsid w:val="00D9291C"/>
    <w:rsid w:val="00D92EA8"/>
    <w:rsid w:val="00D95F26"/>
    <w:rsid w:val="00DA503F"/>
    <w:rsid w:val="00DB0F7A"/>
    <w:rsid w:val="00DB41AC"/>
    <w:rsid w:val="00DC69A0"/>
    <w:rsid w:val="00DC7377"/>
    <w:rsid w:val="00DD70F1"/>
    <w:rsid w:val="00DD7A72"/>
    <w:rsid w:val="00DE56E7"/>
    <w:rsid w:val="00DE5BCE"/>
    <w:rsid w:val="00DE643A"/>
    <w:rsid w:val="00DE7FE2"/>
    <w:rsid w:val="00DF0B3F"/>
    <w:rsid w:val="00DF0CF7"/>
    <w:rsid w:val="00DF445E"/>
    <w:rsid w:val="00E02E9E"/>
    <w:rsid w:val="00E06940"/>
    <w:rsid w:val="00E10136"/>
    <w:rsid w:val="00E114F6"/>
    <w:rsid w:val="00E26DF8"/>
    <w:rsid w:val="00E30B2B"/>
    <w:rsid w:val="00E32433"/>
    <w:rsid w:val="00E33C93"/>
    <w:rsid w:val="00E35CCD"/>
    <w:rsid w:val="00E36A64"/>
    <w:rsid w:val="00E37527"/>
    <w:rsid w:val="00E4605E"/>
    <w:rsid w:val="00E4687C"/>
    <w:rsid w:val="00E474E2"/>
    <w:rsid w:val="00E47C87"/>
    <w:rsid w:val="00E554EF"/>
    <w:rsid w:val="00E63EBF"/>
    <w:rsid w:val="00E6469F"/>
    <w:rsid w:val="00E66B2B"/>
    <w:rsid w:val="00E840AD"/>
    <w:rsid w:val="00E8480E"/>
    <w:rsid w:val="00E855A1"/>
    <w:rsid w:val="00EA2754"/>
    <w:rsid w:val="00EA2B3D"/>
    <w:rsid w:val="00EA3C6C"/>
    <w:rsid w:val="00EA7167"/>
    <w:rsid w:val="00EB3CEE"/>
    <w:rsid w:val="00EB4ADA"/>
    <w:rsid w:val="00EB7A4A"/>
    <w:rsid w:val="00EC2CF8"/>
    <w:rsid w:val="00EC5FA6"/>
    <w:rsid w:val="00EC7A92"/>
    <w:rsid w:val="00ED4572"/>
    <w:rsid w:val="00ED644E"/>
    <w:rsid w:val="00EE3131"/>
    <w:rsid w:val="00EE3DCC"/>
    <w:rsid w:val="00EE54CC"/>
    <w:rsid w:val="00EF3A99"/>
    <w:rsid w:val="00EF60AC"/>
    <w:rsid w:val="00F00374"/>
    <w:rsid w:val="00F0084D"/>
    <w:rsid w:val="00F02A70"/>
    <w:rsid w:val="00F0376E"/>
    <w:rsid w:val="00F069FE"/>
    <w:rsid w:val="00F11618"/>
    <w:rsid w:val="00F139A6"/>
    <w:rsid w:val="00F13F24"/>
    <w:rsid w:val="00F159AA"/>
    <w:rsid w:val="00F16FFC"/>
    <w:rsid w:val="00F170AE"/>
    <w:rsid w:val="00F20EC1"/>
    <w:rsid w:val="00F2340A"/>
    <w:rsid w:val="00F235DB"/>
    <w:rsid w:val="00F2721B"/>
    <w:rsid w:val="00F3037F"/>
    <w:rsid w:val="00F30681"/>
    <w:rsid w:val="00F31FDA"/>
    <w:rsid w:val="00F32456"/>
    <w:rsid w:val="00F36BF2"/>
    <w:rsid w:val="00F371E1"/>
    <w:rsid w:val="00F40126"/>
    <w:rsid w:val="00F403A9"/>
    <w:rsid w:val="00F452E5"/>
    <w:rsid w:val="00F454EB"/>
    <w:rsid w:val="00F57149"/>
    <w:rsid w:val="00F60CA3"/>
    <w:rsid w:val="00F61C2C"/>
    <w:rsid w:val="00F63430"/>
    <w:rsid w:val="00F65F1E"/>
    <w:rsid w:val="00F67773"/>
    <w:rsid w:val="00F71AE3"/>
    <w:rsid w:val="00F7408D"/>
    <w:rsid w:val="00F7768C"/>
    <w:rsid w:val="00F817C1"/>
    <w:rsid w:val="00F93544"/>
    <w:rsid w:val="00F94F9E"/>
    <w:rsid w:val="00F9505D"/>
    <w:rsid w:val="00F95FF8"/>
    <w:rsid w:val="00FA0523"/>
    <w:rsid w:val="00FA46AF"/>
    <w:rsid w:val="00FA5EF1"/>
    <w:rsid w:val="00FB1091"/>
    <w:rsid w:val="00FB6680"/>
    <w:rsid w:val="00FC5544"/>
    <w:rsid w:val="00FC77B3"/>
    <w:rsid w:val="00FC7CCA"/>
    <w:rsid w:val="00FD1559"/>
    <w:rsid w:val="00FD35AF"/>
    <w:rsid w:val="00FD6C37"/>
    <w:rsid w:val="00FE66A8"/>
    <w:rsid w:val="00FF7612"/>
    <w:rsid w:val="00FF7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A427F"/>
  <w15:chartTrackingRefBased/>
  <w15:docId w15:val="{01B6D7FC-D087-451C-8F42-ECEFB0B3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List Bullet" w:qFormat="1"/>
    <w:lsdException w:name="List Number"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2FD"/>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A944A7"/>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link w:val="Heading2Char"/>
    <w:qFormat/>
    <w:rsid w:val="00A944A7"/>
    <w:pPr>
      <w:numPr>
        <w:ilvl w:val="1"/>
      </w:numPr>
      <w:spacing w:before="100" w:after="100"/>
      <w:ind w:left="624" w:hanging="624"/>
      <w:outlineLvl w:val="1"/>
    </w:pPr>
    <w:rPr>
      <w:sz w:val="20"/>
      <w:szCs w:val="20"/>
    </w:rPr>
  </w:style>
  <w:style w:type="paragraph" w:styleId="Heading3">
    <w:name w:val="heading 3"/>
    <w:basedOn w:val="Heading2"/>
    <w:next w:val="PARAGRAPH"/>
    <w:link w:val="Heading3Char"/>
    <w:qFormat/>
    <w:rsid w:val="00A944A7"/>
    <w:pPr>
      <w:numPr>
        <w:ilvl w:val="2"/>
      </w:numPr>
      <w:ind w:left="851" w:hanging="851"/>
      <w:outlineLvl w:val="2"/>
    </w:pPr>
  </w:style>
  <w:style w:type="paragraph" w:styleId="Heading4">
    <w:name w:val="heading 4"/>
    <w:basedOn w:val="Heading3"/>
    <w:next w:val="PARAGRAPH"/>
    <w:link w:val="Heading4Char"/>
    <w:qFormat/>
    <w:rsid w:val="00A944A7"/>
    <w:pPr>
      <w:numPr>
        <w:ilvl w:val="3"/>
      </w:numPr>
      <w:ind w:left="1077" w:hanging="1077"/>
      <w:outlineLvl w:val="3"/>
    </w:pPr>
  </w:style>
  <w:style w:type="paragraph" w:styleId="Heading5">
    <w:name w:val="heading 5"/>
    <w:basedOn w:val="Heading4"/>
    <w:next w:val="PARAGRAPH"/>
    <w:link w:val="Heading5Char"/>
    <w:qFormat/>
    <w:rsid w:val="00A944A7"/>
    <w:pPr>
      <w:numPr>
        <w:ilvl w:val="4"/>
      </w:numPr>
      <w:ind w:left="1304" w:hanging="1304"/>
      <w:outlineLvl w:val="4"/>
    </w:pPr>
  </w:style>
  <w:style w:type="paragraph" w:styleId="Heading6">
    <w:name w:val="heading 6"/>
    <w:basedOn w:val="Heading5"/>
    <w:next w:val="PARAGRAPH"/>
    <w:link w:val="Heading6Char"/>
    <w:qFormat/>
    <w:rsid w:val="00A944A7"/>
    <w:pPr>
      <w:numPr>
        <w:ilvl w:val="5"/>
      </w:numPr>
      <w:ind w:left="1531" w:hanging="1531"/>
      <w:outlineLvl w:val="5"/>
    </w:pPr>
  </w:style>
  <w:style w:type="paragraph" w:styleId="Heading7">
    <w:name w:val="heading 7"/>
    <w:basedOn w:val="Heading6"/>
    <w:next w:val="PARAGRAPH"/>
    <w:link w:val="Heading7Char"/>
    <w:qFormat/>
    <w:rsid w:val="00A944A7"/>
    <w:pPr>
      <w:numPr>
        <w:ilvl w:val="6"/>
      </w:numPr>
      <w:ind w:left="1758" w:hanging="1758"/>
      <w:outlineLvl w:val="6"/>
    </w:pPr>
  </w:style>
  <w:style w:type="paragraph" w:styleId="Heading8">
    <w:name w:val="heading 8"/>
    <w:basedOn w:val="Heading7"/>
    <w:next w:val="PARAGRAPH"/>
    <w:link w:val="Heading8Char"/>
    <w:qFormat/>
    <w:rsid w:val="00A944A7"/>
    <w:pPr>
      <w:numPr>
        <w:ilvl w:val="7"/>
      </w:numPr>
      <w:ind w:left="1985" w:hanging="1985"/>
      <w:outlineLvl w:val="7"/>
    </w:pPr>
  </w:style>
  <w:style w:type="paragraph" w:styleId="Heading9">
    <w:name w:val="heading 9"/>
    <w:basedOn w:val="Heading8"/>
    <w:next w:val="PARAGRAPH"/>
    <w:link w:val="Heading9Char"/>
    <w:qFormat/>
    <w:rsid w:val="00A944A7"/>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PARAGRAPH"/>
    <w:rsid w:val="00A944A7"/>
    <w:pPr>
      <w:tabs>
        <w:tab w:val="center" w:pos="4536"/>
        <w:tab w:val="right" w:pos="9072"/>
      </w:tabs>
      <w:spacing w:before="0" w:after="0"/>
    </w:pPr>
  </w:style>
  <w:style w:type="paragraph" w:styleId="Footer">
    <w:name w:val="footer"/>
    <w:basedOn w:val="Header"/>
    <w:link w:val="FooterChar"/>
    <w:rsid w:val="00A944A7"/>
  </w:style>
  <w:style w:type="table" w:styleId="TableGrid">
    <w:name w:val="Table Grid"/>
    <w:basedOn w:val="TableNormal"/>
    <w:rsid w:val="0040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30A"/>
    <w:rPr>
      <w:rFonts w:ascii="Tahoma" w:hAnsi="Tahoma" w:cs="Tahoma"/>
      <w:sz w:val="16"/>
      <w:szCs w:val="16"/>
    </w:rPr>
  </w:style>
  <w:style w:type="character" w:styleId="CommentReference">
    <w:name w:val="annotation reference"/>
    <w:semiHidden/>
    <w:rsid w:val="00A944A7"/>
    <w:rPr>
      <w:sz w:val="16"/>
      <w:szCs w:val="16"/>
    </w:rPr>
  </w:style>
  <w:style w:type="paragraph" w:styleId="CommentText">
    <w:name w:val="annotation text"/>
    <w:basedOn w:val="Normal"/>
    <w:semiHidden/>
    <w:rsid w:val="00A944A7"/>
  </w:style>
  <w:style w:type="paragraph" w:styleId="CommentSubject">
    <w:name w:val="annotation subject"/>
    <w:basedOn w:val="CommentText"/>
    <w:next w:val="CommentText"/>
    <w:semiHidden/>
    <w:rsid w:val="007C730A"/>
    <w:rPr>
      <w:b/>
      <w:bCs/>
    </w:rPr>
  </w:style>
  <w:style w:type="paragraph" w:styleId="BodyTextIndent3">
    <w:name w:val="Body Text Indent 3"/>
    <w:basedOn w:val="Normal"/>
    <w:rsid w:val="00CA38E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b/>
      <w:lang w:eastAsia="en-US"/>
    </w:rPr>
  </w:style>
  <w:style w:type="paragraph" w:styleId="PlainText">
    <w:name w:val="Plain Text"/>
    <w:basedOn w:val="Normal"/>
    <w:link w:val="PlainTextChar"/>
    <w:rsid w:val="00F170AE"/>
    <w:rPr>
      <w:rFonts w:ascii="Courier New" w:hAnsi="Courier New"/>
      <w:lang w:val="en-US" w:eastAsia="en-US"/>
    </w:rPr>
  </w:style>
  <w:style w:type="paragraph" w:styleId="ListParagraph">
    <w:name w:val="List Paragraph"/>
    <w:basedOn w:val="Normal"/>
    <w:uiPriority w:val="34"/>
    <w:qFormat/>
    <w:rsid w:val="002B614F"/>
    <w:pPr>
      <w:ind w:left="720"/>
    </w:pPr>
    <w:rPr>
      <w:lang w:eastAsia="en-US"/>
    </w:rPr>
  </w:style>
  <w:style w:type="character" w:customStyle="1" w:styleId="Heading1Char">
    <w:name w:val="Heading 1 Char"/>
    <w:link w:val="Heading1"/>
    <w:rsid w:val="00CB2661"/>
    <w:rPr>
      <w:rFonts w:ascii="Arial" w:eastAsia="Times New Roman" w:hAnsi="Arial" w:cs="Arial"/>
      <w:b/>
      <w:bCs/>
      <w:spacing w:val="8"/>
      <w:sz w:val="22"/>
      <w:szCs w:val="22"/>
      <w:lang w:val="en-GB"/>
    </w:rPr>
  </w:style>
  <w:style w:type="character" w:customStyle="1" w:styleId="Heading2Char">
    <w:name w:val="Heading 2 Char"/>
    <w:link w:val="Heading2"/>
    <w:rsid w:val="00CB2661"/>
    <w:rPr>
      <w:rFonts w:ascii="Arial" w:eastAsia="Times New Roman" w:hAnsi="Arial" w:cs="Arial"/>
      <w:b/>
      <w:bCs/>
      <w:spacing w:val="8"/>
      <w:lang w:val="en-GB"/>
    </w:rPr>
  </w:style>
  <w:style w:type="character" w:customStyle="1" w:styleId="Heading3Char">
    <w:name w:val="Heading 3 Char"/>
    <w:link w:val="Heading3"/>
    <w:rsid w:val="00CB2661"/>
    <w:rPr>
      <w:rFonts w:ascii="Arial" w:eastAsia="Times New Roman" w:hAnsi="Arial" w:cs="Arial"/>
      <w:b/>
      <w:bCs/>
      <w:spacing w:val="8"/>
      <w:lang w:val="en-GB"/>
    </w:rPr>
  </w:style>
  <w:style w:type="character" w:customStyle="1" w:styleId="Heading4Char">
    <w:name w:val="Heading 4 Char"/>
    <w:link w:val="Heading4"/>
    <w:rsid w:val="00CB2661"/>
    <w:rPr>
      <w:rFonts w:ascii="Arial" w:eastAsia="Times New Roman" w:hAnsi="Arial" w:cs="Arial"/>
      <w:b/>
      <w:bCs/>
      <w:spacing w:val="8"/>
      <w:lang w:val="en-GB"/>
    </w:rPr>
  </w:style>
  <w:style w:type="character" w:customStyle="1" w:styleId="Heading5Char">
    <w:name w:val="Heading 5 Char"/>
    <w:link w:val="Heading5"/>
    <w:rsid w:val="00CB2661"/>
    <w:rPr>
      <w:rFonts w:ascii="Arial" w:eastAsia="Times New Roman" w:hAnsi="Arial" w:cs="Arial"/>
      <w:b/>
      <w:bCs/>
      <w:spacing w:val="8"/>
      <w:lang w:val="en-GB"/>
    </w:rPr>
  </w:style>
  <w:style w:type="character" w:customStyle="1" w:styleId="Heading6Char">
    <w:name w:val="Heading 6 Char"/>
    <w:link w:val="Heading6"/>
    <w:rsid w:val="00CB2661"/>
    <w:rPr>
      <w:rFonts w:ascii="Arial" w:eastAsia="Times New Roman" w:hAnsi="Arial" w:cs="Arial"/>
      <w:b/>
      <w:bCs/>
      <w:spacing w:val="8"/>
      <w:lang w:val="en-GB"/>
    </w:rPr>
  </w:style>
  <w:style w:type="character" w:customStyle="1" w:styleId="Heading7Char">
    <w:name w:val="Heading 7 Char"/>
    <w:link w:val="Heading7"/>
    <w:rsid w:val="00CB2661"/>
    <w:rPr>
      <w:rFonts w:ascii="Arial" w:eastAsia="Times New Roman" w:hAnsi="Arial" w:cs="Arial"/>
      <w:b/>
      <w:bCs/>
      <w:spacing w:val="8"/>
      <w:lang w:val="en-GB"/>
    </w:rPr>
  </w:style>
  <w:style w:type="character" w:customStyle="1" w:styleId="Heading8Char">
    <w:name w:val="Heading 8 Char"/>
    <w:link w:val="Heading8"/>
    <w:rsid w:val="00CB2661"/>
    <w:rPr>
      <w:rFonts w:ascii="Arial" w:eastAsia="Times New Roman" w:hAnsi="Arial" w:cs="Arial"/>
      <w:b/>
      <w:bCs/>
      <w:spacing w:val="8"/>
      <w:lang w:val="en-GB"/>
    </w:rPr>
  </w:style>
  <w:style w:type="character" w:customStyle="1" w:styleId="Heading9Char">
    <w:name w:val="Heading 9 Char"/>
    <w:link w:val="Heading9"/>
    <w:rsid w:val="00CB2661"/>
    <w:rPr>
      <w:rFonts w:ascii="Arial" w:eastAsia="Times New Roman" w:hAnsi="Arial" w:cs="Arial"/>
      <w:b/>
      <w:bCs/>
      <w:spacing w:val="8"/>
      <w:lang w:val="en-GB"/>
    </w:rPr>
  </w:style>
  <w:style w:type="paragraph" w:customStyle="1" w:styleId="PARAGRAPH">
    <w:name w:val="PARAGRAPH"/>
    <w:link w:val="PARAGRAPHChar"/>
    <w:qFormat/>
    <w:rsid w:val="00A944A7"/>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A944A7"/>
    <w:pPr>
      <w:jc w:val="center"/>
    </w:pPr>
    <w:rPr>
      <w:b/>
      <w:bCs/>
    </w:rPr>
  </w:style>
  <w:style w:type="paragraph" w:customStyle="1" w:styleId="NOTE">
    <w:name w:val="NOTE"/>
    <w:basedOn w:val="PARAGRAPH"/>
    <w:qFormat/>
    <w:rsid w:val="00A944A7"/>
    <w:pPr>
      <w:spacing w:after="100"/>
    </w:pPr>
    <w:rPr>
      <w:sz w:val="16"/>
      <w:szCs w:val="16"/>
    </w:rPr>
  </w:style>
  <w:style w:type="paragraph" w:styleId="List">
    <w:name w:val="List"/>
    <w:basedOn w:val="PARAGRAPH"/>
    <w:qFormat/>
    <w:rsid w:val="00A944A7"/>
    <w:pPr>
      <w:tabs>
        <w:tab w:val="left" w:pos="340"/>
      </w:tabs>
      <w:spacing w:before="0" w:after="100"/>
      <w:ind w:left="340" w:hanging="340"/>
    </w:pPr>
  </w:style>
  <w:style w:type="character" w:styleId="PageNumber">
    <w:name w:val="page number"/>
    <w:rsid w:val="00A944A7"/>
    <w:rPr>
      <w:rFonts w:ascii="Arial" w:hAnsi="Arial"/>
      <w:sz w:val="20"/>
      <w:szCs w:val="20"/>
    </w:rPr>
  </w:style>
  <w:style w:type="paragraph" w:customStyle="1" w:styleId="FOREWORD">
    <w:name w:val="FOREWORD"/>
    <w:basedOn w:val="PARAGRAPH"/>
    <w:rsid w:val="00A944A7"/>
    <w:pPr>
      <w:tabs>
        <w:tab w:val="left" w:pos="284"/>
      </w:tabs>
      <w:spacing w:before="0" w:after="100"/>
      <w:ind w:left="284" w:hanging="284"/>
    </w:pPr>
    <w:rPr>
      <w:sz w:val="16"/>
      <w:szCs w:val="16"/>
    </w:rPr>
  </w:style>
  <w:style w:type="paragraph" w:customStyle="1" w:styleId="TABLE-title">
    <w:name w:val="TABLE-title"/>
    <w:basedOn w:val="PARAGRAPH"/>
    <w:qFormat/>
    <w:rsid w:val="00A944A7"/>
    <w:pPr>
      <w:keepNext/>
      <w:jc w:val="center"/>
    </w:pPr>
    <w:rPr>
      <w:b/>
      <w:bCs/>
    </w:rPr>
  </w:style>
  <w:style w:type="paragraph" w:styleId="FootnoteText">
    <w:name w:val="footnote text"/>
    <w:basedOn w:val="PARAGRAPH"/>
    <w:link w:val="FootnoteTextChar"/>
    <w:rsid w:val="00A944A7"/>
    <w:pPr>
      <w:spacing w:before="0" w:after="100"/>
      <w:ind w:left="284" w:hanging="284"/>
    </w:pPr>
    <w:rPr>
      <w:sz w:val="16"/>
      <w:szCs w:val="16"/>
    </w:rPr>
  </w:style>
  <w:style w:type="character" w:customStyle="1" w:styleId="FootnoteTextChar">
    <w:name w:val="Footnote Text Char"/>
    <w:link w:val="FootnoteText"/>
    <w:rsid w:val="00CB2661"/>
    <w:rPr>
      <w:rFonts w:ascii="Arial" w:eastAsia="Times New Roman" w:hAnsi="Arial" w:cs="Arial"/>
      <w:spacing w:val="8"/>
      <w:sz w:val="16"/>
      <w:szCs w:val="16"/>
      <w:lang w:val="en-GB" w:eastAsia="zh-CN"/>
    </w:rPr>
  </w:style>
  <w:style w:type="character" w:styleId="FootnoteReference">
    <w:name w:val="footnote reference"/>
    <w:rsid w:val="00A944A7"/>
    <w:rPr>
      <w:rFonts w:ascii="Arial" w:hAnsi="Arial"/>
      <w:position w:val="4"/>
      <w:sz w:val="16"/>
      <w:szCs w:val="16"/>
      <w:vertAlign w:val="baseline"/>
    </w:rPr>
  </w:style>
  <w:style w:type="paragraph" w:styleId="TOC1">
    <w:name w:val="toc 1"/>
    <w:basedOn w:val="PARAGRAPH"/>
    <w:rsid w:val="00A944A7"/>
    <w:pPr>
      <w:tabs>
        <w:tab w:val="left" w:pos="395"/>
        <w:tab w:val="right" w:leader="dot" w:pos="9070"/>
      </w:tabs>
      <w:suppressAutoHyphens/>
      <w:spacing w:before="0" w:after="100"/>
      <w:ind w:left="397" w:right="680" w:hanging="397"/>
      <w:jc w:val="left"/>
    </w:pPr>
  </w:style>
  <w:style w:type="paragraph" w:styleId="TOC2">
    <w:name w:val="toc 2"/>
    <w:basedOn w:val="TOC1"/>
    <w:rsid w:val="00A944A7"/>
    <w:pPr>
      <w:tabs>
        <w:tab w:val="clear" w:pos="395"/>
        <w:tab w:val="left" w:pos="964"/>
      </w:tabs>
      <w:spacing w:after="60"/>
      <w:ind w:left="964" w:hanging="567"/>
    </w:pPr>
  </w:style>
  <w:style w:type="paragraph" w:styleId="TOC3">
    <w:name w:val="toc 3"/>
    <w:basedOn w:val="TOC2"/>
    <w:rsid w:val="00A944A7"/>
    <w:pPr>
      <w:tabs>
        <w:tab w:val="clear" w:pos="964"/>
        <w:tab w:val="left" w:pos="1701"/>
      </w:tabs>
      <w:ind w:left="1701" w:hanging="737"/>
    </w:pPr>
  </w:style>
  <w:style w:type="paragraph" w:styleId="TOC4">
    <w:name w:val="toc 4"/>
    <w:basedOn w:val="TOC3"/>
    <w:rsid w:val="00A944A7"/>
    <w:pPr>
      <w:tabs>
        <w:tab w:val="clear" w:pos="1701"/>
        <w:tab w:val="left" w:pos="2608"/>
      </w:tabs>
      <w:ind w:left="2608" w:hanging="907"/>
    </w:pPr>
  </w:style>
  <w:style w:type="paragraph" w:styleId="TOC5">
    <w:name w:val="toc 5"/>
    <w:basedOn w:val="TOC4"/>
    <w:rsid w:val="00A944A7"/>
    <w:pPr>
      <w:tabs>
        <w:tab w:val="clear" w:pos="2608"/>
        <w:tab w:val="left" w:pos="3686"/>
      </w:tabs>
      <w:ind w:left="3685" w:hanging="1077"/>
    </w:pPr>
  </w:style>
  <w:style w:type="paragraph" w:styleId="TOC6">
    <w:name w:val="toc 6"/>
    <w:basedOn w:val="TOC5"/>
    <w:rsid w:val="00A944A7"/>
    <w:pPr>
      <w:tabs>
        <w:tab w:val="clear" w:pos="3686"/>
        <w:tab w:val="left" w:pos="4933"/>
      </w:tabs>
      <w:ind w:left="4933" w:hanging="1247"/>
    </w:pPr>
  </w:style>
  <w:style w:type="paragraph" w:styleId="TOC7">
    <w:name w:val="toc 7"/>
    <w:basedOn w:val="TOC1"/>
    <w:rsid w:val="00A944A7"/>
    <w:pPr>
      <w:tabs>
        <w:tab w:val="right" w:pos="9070"/>
      </w:tabs>
    </w:pPr>
  </w:style>
  <w:style w:type="paragraph" w:styleId="TOC8">
    <w:name w:val="toc 8"/>
    <w:basedOn w:val="TOC1"/>
    <w:rsid w:val="00A944A7"/>
    <w:pPr>
      <w:ind w:left="720" w:hanging="720"/>
    </w:pPr>
  </w:style>
  <w:style w:type="paragraph" w:styleId="TOC9">
    <w:name w:val="toc 9"/>
    <w:basedOn w:val="TOC1"/>
    <w:rsid w:val="00A944A7"/>
    <w:pPr>
      <w:ind w:left="720" w:hanging="720"/>
    </w:pPr>
  </w:style>
  <w:style w:type="paragraph" w:customStyle="1" w:styleId="HEADINGNonumber">
    <w:name w:val="HEADING(Nonumber)"/>
    <w:basedOn w:val="Heading1"/>
    <w:rsid w:val="00A944A7"/>
    <w:pPr>
      <w:spacing w:before="0"/>
      <w:jc w:val="center"/>
      <w:outlineLvl w:val="9"/>
    </w:pPr>
    <w:rPr>
      <w:b w:val="0"/>
      <w:bCs w:val="0"/>
      <w:sz w:val="24"/>
      <w:szCs w:val="24"/>
    </w:rPr>
  </w:style>
  <w:style w:type="paragraph" w:styleId="List4">
    <w:name w:val="List 4"/>
    <w:basedOn w:val="List3"/>
    <w:rsid w:val="00A944A7"/>
    <w:pPr>
      <w:tabs>
        <w:tab w:val="clear" w:pos="1021"/>
        <w:tab w:val="left" w:pos="1361"/>
      </w:tabs>
      <w:ind w:left="1361"/>
    </w:pPr>
  </w:style>
  <w:style w:type="paragraph" w:customStyle="1" w:styleId="TABLE-col-heading">
    <w:name w:val="TABLE-col-heading"/>
    <w:basedOn w:val="PARAGRAPH"/>
    <w:qFormat/>
    <w:rsid w:val="00A944A7"/>
    <w:pPr>
      <w:spacing w:before="60" w:after="60"/>
      <w:jc w:val="center"/>
    </w:pPr>
    <w:rPr>
      <w:b/>
      <w:bCs/>
      <w:sz w:val="16"/>
      <w:szCs w:val="16"/>
    </w:rPr>
  </w:style>
  <w:style w:type="paragraph" w:customStyle="1" w:styleId="ANNEXtitle">
    <w:name w:val="ANNEX_title"/>
    <w:basedOn w:val="MAIN-TITLE"/>
    <w:next w:val="ANNEX-heading1"/>
    <w:qFormat/>
    <w:rsid w:val="00A944A7"/>
    <w:pPr>
      <w:pageBreakBefore/>
      <w:numPr>
        <w:numId w:val="2"/>
      </w:numPr>
      <w:spacing w:after="200"/>
      <w:outlineLvl w:val="0"/>
    </w:pPr>
  </w:style>
  <w:style w:type="paragraph" w:customStyle="1" w:styleId="TERM">
    <w:name w:val="TERM"/>
    <w:basedOn w:val="PARAGRAPH"/>
    <w:next w:val="TERM-definition"/>
    <w:qFormat/>
    <w:rsid w:val="00A944A7"/>
    <w:pPr>
      <w:keepNext/>
      <w:spacing w:before="0" w:after="0"/>
    </w:pPr>
    <w:rPr>
      <w:b/>
      <w:bCs/>
    </w:rPr>
  </w:style>
  <w:style w:type="paragraph" w:customStyle="1" w:styleId="TERM-definition">
    <w:name w:val="TERM-definition"/>
    <w:basedOn w:val="PARAGRAPH"/>
    <w:next w:val="TERM-number"/>
    <w:qFormat/>
    <w:rsid w:val="00A944A7"/>
    <w:pPr>
      <w:spacing w:before="0"/>
    </w:pPr>
  </w:style>
  <w:style w:type="character" w:styleId="LineNumber">
    <w:name w:val="line number"/>
    <w:basedOn w:val="DefaultParagraphFont"/>
    <w:rsid w:val="00A944A7"/>
  </w:style>
  <w:style w:type="paragraph" w:styleId="ListNumber3">
    <w:name w:val="List Number 3"/>
    <w:basedOn w:val="List3"/>
    <w:rsid w:val="00A944A7"/>
    <w:pPr>
      <w:numPr>
        <w:numId w:val="6"/>
      </w:numPr>
      <w:tabs>
        <w:tab w:val="clear" w:pos="720"/>
      </w:tabs>
      <w:ind w:left="1020" w:hanging="340"/>
    </w:pPr>
  </w:style>
  <w:style w:type="paragraph" w:styleId="List3">
    <w:name w:val="List 3"/>
    <w:basedOn w:val="List2"/>
    <w:rsid w:val="00A944A7"/>
    <w:pPr>
      <w:tabs>
        <w:tab w:val="clear" w:pos="680"/>
        <w:tab w:val="left" w:pos="1021"/>
      </w:tabs>
      <w:ind w:left="1020"/>
    </w:pPr>
  </w:style>
  <w:style w:type="paragraph" w:styleId="ListBullet5">
    <w:name w:val="List Bullet 5"/>
    <w:basedOn w:val="ListBullet4"/>
    <w:rsid w:val="00A944A7"/>
    <w:pPr>
      <w:tabs>
        <w:tab w:val="clear" w:pos="1361"/>
        <w:tab w:val="left" w:pos="1701"/>
      </w:tabs>
      <w:ind w:left="1701"/>
    </w:pPr>
  </w:style>
  <w:style w:type="character" w:styleId="EndnoteReference">
    <w:name w:val="endnote reference"/>
    <w:rsid w:val="00A944A7"/>
    <w:rPr>
      <w:vertAlign w:val="superscript"/>
    </w:rPr>
  </w:style>
  <w:style w:type="paragraph" w:customStyle="1" w:styleId="TABFIGfootnote">
    <w:name w:val="TAB_FIG_footnote"/>
    <w:basedOn w:val="FootnoteText"/>
    <w:rsid w:val="00A944A7"/>
    <w:pPr>
      <w:tabs>
        <w:tab w:val="left" w:pos="284"/>
      </w:tabs>
      <w:spacing w:before="60" w:after="60"/>
    </w:pPr>
  </w:style>
  <w:style w:type="character" w:customStyle="1" w:styleId="Reference">
    <w:name w:val="Reference"/>
    <w:rsid w:val="00A944A7"/>
    <w:rPr>
      <w:rFonts w:ascii="Arial" w:hAnsi="Arial"/>
      <w:noProof/>
      <w:sz w:val="20"/>
      <w:szCs w:val="20"/>
    </w:rPr>
  </w:style>
  <w:style w:type="paragraph" w:customStyle="1" w:styleId="TABLE-cell">
    <w:name w:val="TABLE-cell"/>
    <w:basedOn w:val="TABLE-col-heading"/>
    <w:qFormat/>
    <w:rsid w:val="00A944A7"/>
    <w:pPr>
      <w:jc w:val="left"/>
    </w:pPr>
    <w:rPr>
      <w:b w:val="0"/>
      <w:bCs w:val="0"/>
    </w:rPr>
  </w:style>
  <w:style w:type="paragraph" w:styleId="List2">
    <w:name w:val="List 2"/>
    <w:basedOn w:val="List"/>
    <w:rsid w:val="00A944A7"/>
    <w:pPr>
      <w:tabs>
        <w:tab w:val="clear" w:pos="340"/>
        <w:tab w:val="left" w:pos="680"/>
      </w:tabs>
      <w:ind w:left="680"/>
    </w:pPr>
  </w:style>
  <w:style w:type="paragraph" w:styleId="ListBullet">
    <w:name w:val="List Bullet"/>
    <w:basedOn w:val="PARAGRAPH"/>
    <w:qFormat/>
    <w:rsid w:val="00A944A7"/>
    <w:pPr>
      <w:numPr>
        <w:numId w:val="10"/>
      </w:numPr>
      <w:tabs>
        <w:tab w:val="clear" w:pos="720"/>
        <w:tab w:val="left" w:pos="340"/>
      </w:tabs>
      <w:spacing w:before="0" w:after="100"/>
      <w:ind w:left="340" w:hanging="340"/>
    </w:pPr>
  </w:style>
  <w:style w:type="paragraph" w:styleId="ListBullet2">
    <w:name w:val="List Bullet 2"/>
    <w:basedOn w:val="ListBullet"/>
    <w:rsid w:val="00A944A7"/>
    <w:pPr>
      <w:numPr>
        <w:numId w:val="9"/>
      </w:numPr>
      <w:tabs>
        <w:tab w:val="clear" w:pos="700"/>
      </w:tabs>
      <w:ind w:left="680" w:hanging="340"/>
    </w:pPr>
  </w:style>
  <w:style w:type="paragraph" w:styleId="ListBullet3">
    <w:name w:val="List Bullet 3"/>
    <w:basedOn w:val="ListBullet2"/>
    <w:rsid w:val="00A944A7"/>
    <w:pPr>
      <w:tabs>
        <w:tab w:val="clear" w:pos="340"/>
        <w:tab w:val="left" w:pos="1021"/>
      </w:tabs>
      <w:ind w:left="1020"/>
    </w:pPr>
  </w:style>
  <w:style w:type="paragraph" w:styleId="ListBullet4">
    <w:name w:val="List Bullet 4"/>
    <w:basedOn w:val="ListBullet3"/>
    <w:rsid w:val="00A944A7"/>
    <w:pPr>
      <w:tabs>
        <w:tab w:val="clear" w:pos="1021"/>
        <w:tab w:val="left" w:pos="1361"/>
      </w:tabs>
      <w:ind w:left="1361"/>
    </w:pPr>
  </w:style>
  <w:style w:type="paragraph" w:styleId="ListContinue">
    <w:name w:val="List Continue"/>
    <w:basedOn w:val="PARAGRAPH"/>
    <w:rsid w:val="00A944A7"/>
    <w:pPr>
      <w:spacing w:before="0" w:after="100"/>
      <w:ind w:left="340"/>
    </w:pPr>
  </w:style>
  <w:style w:type="paragraph" w:styleId="ListContinue2">
    <w:name w:val="List Continue 2"/>
    <w:basedOn w:val="ListContinue"/>
    <w:rsid w:val="00A944A7"/>
    <w:pPr>
      <w:ind w:left="680"/>
    </w:pPr>
  </w:style>
  <w:style w:type="paragraph" w:styleId="ListContinue3">
    <w:name w:val="List Continue 3"/>
    <w:basedOn w:val="ListContinue2"/>
    <w:rsid w:val="00A944A7"/>
    <w:pPr>
      <w:ind w:left="1021"/>
    </w:pPr>
  </w:style>
  <w:style w:type="paragraph" w:styleId="ListContinue4">
    <w:name w:val="List Continue 4"/>
    <w:basedOn w:val="ListContinue3"/>
    <w:rsid w:val="00A944A7"/>
    <w:pPr>
      <w:ind w:left="1361"/>
    </w:pPr>
  </w:style>
  <w:style w:type="paragraph" w:styleId="ListContinue5">
    <w:name w:val="List Continue 5"/>
    <w:basedOn w:val="ListContinue4"/>
    <w:rsid w:val="00A944A7"/>
    <w:pPr>
      <w:ind w:left="1701"/>
    </w:pPr>
  </w:style>
  <w:style w:type="paragraph" w:styleId="List5">
    <w:name w:val="List 5"/>
    <w:basedOn w:val="List4"/>
    <w:rsid w:val="00A944A7"/>
    <w:pPr>
      <w:tabs>
        <w:tab w:val="clear" w:pos="1361"/>
        <w:tab w:val="left" w:pos="1701"/>
      </w:tabs>
      <w:ind w:left="1701"/>
    </w:pPr>
  </w:style>
  <w:style w:type="paragraph" w:customStyle="1" w:styleId="TERM-number">
    <w:name w:val="TERM-number"/>
    <w:basedOn w:val="Heading2"/>
    <w:next w:val="TERM"/>
    <w:qFormat/>
    <w:rsid w:val="00A944A7"/>
    <w:pPr>
      <w:spacing w:after="0"/>
      <w:ind w:left="0" w:firstLine="0"/>
      <w:outlineLvl w:val="9"/>
    </w:pPr>
  </w:style>
  <w:style w:type="character" w:customStyle="1" w:styleId="VARIABLE">
    <w:name w:val="VARIABLE"/>
    <w:rsid w:val="00A944A7"/>
    <w:rPr>
      <w:rFonts w:ascii="Times New Roman" w:hAnsi="Times New Roman"/>
      <w:i/>
      <w:iCs/>
    </w:rPr>
  </w:style>
  <w:style w:type="character" w:styleId="Hyperlink">
    <w:name w:val="Hyperlink"/>
    <w:rsid w:val="00A944A7"/>
    <w:rPr>
      <w:color w:val="0000FF"/>
      <w:u w:val="none"/>
    </w:rPr>
  </w:style>
  <w:style w:type="paragraph" w:styleId="ListNumber">
    <w:name w:val="List Number"/>
    <w:basedOn w:val="List"/>
    <w:qFormat/>
    <w:rsid w:val="00A944A7"/>
    <w:pPr>
      <w:numPr>
        <w:numId w:val="3"/>
      </w:numPr>
      <w:tabs>
        <w:tab w:val="clear" w:pos="360"/>
        <w:tab w:val="left" w:pos="340"/>
      </w:tabs>
      <w:ind w:left="340" w:hanging="340"/>
    </w:pPr>
  </w:style>
  <w:style w:type="paragraph" w:styleId="ListNumber2">
    <w:name w:val="List Number 2"/>
    <w:basedOn w:val="List2"/>
    <w:rsid w:val="00A944A7"/>
    <w:pPr>
      <w:numPr>
        <w:numId w:val="5"/>
      </w:numPr>
      <w:tabs>
        <w:tab w:val="clear" w:pos="360"/>
      </w:tabs>
      <w:ind w:left="680" w:hanging="340"/>
    </w:pPr>
  </w:style>
  <w:style w:type="paragraph" w:customStyle="1" w:styleId="MAIN-TITLE">
    <w:name w:val="MAIN-TITLE"/>
    <w:basedOn w:val="PARAGRAPH"/>
    <w:autoRedefine/>
    <w:qFormat/>
    <w:rsid w:val="00A944A7"/>
    <w:pPr>
      <w:spacing w:before="0" w:after="0"/>
      <w:jc w:val="center"/>
    </w:pPr>
    <w:rPr>
      <w:b/>
      <w:bCs/>
      <w:sz w:val="24"/>
      <w:szCs w:val="24"/>
    </w:rPr>
  </w:style>
  <w:style w:type="character" w:styleId="FollowedHyperlink">
    <w:name w:val="FollowedHyperlink"/>
    <w:basedOn w:val="Hyperlink"/>
    <w:rsid w:val="00A944A7"/>
    <w:rPr>
      <w:color w:val="0000FF"/>
      <w:u w:val="none"/>
    </w:rPr>
  </w:style>
  <w:style w:type="paragraph" w:customStyle="1" w:styleId="TABLE-centered">
    <w:name w:val="TABLE-centered"/>
    <w:basedOn w:val="TABLE-col-heading"/>
    <w:rsid w:val="00A944A7"/>
    <w:rPr>
      <w:b w:val="0"/>
      <w:bCs w:val="0"/>
    </w:rPr>
  </w:style>
  <w:style w:type="paragraph" w:styleId="ListNumber4">
    <w:name w:val="List Number 4"/>
    <w:basedOn w:val="List4"/>
    <w:rsid w:val="00A944A7"/>
    <w:pPr>
      <w:numPr>
        <w:numId w:val="7"/>
      </w:numPr>
      <w:tabs>
        <w:tab w:val="clear" w:pos="360"/>
      </w:tabs>
      <w:ind w:left="1361" w:hanging="340"/>
    </w:pPr>
  </w:style>
  <w:style w:type="paragraph" w:styleId="ListNumber5">
    <w:name w:val="List Number 5"/>
    <w:basedOn w:val="List5"/>
    <w:rsid w:val="00A944A7"/>
    <w:pPr>
      <w:numPr>
        <w:numId w:val="8"/>
      </w:numPr>
      <w:tabs>
        <w:tab w:val="clear" w:pos="360"/>
      </w:tabs>
      <w:ind w:left="1701" w:hanging="340"/>
    </w:pPr>
  </w:style>
  <w:style w:type="paragraph" w:styleId="TableofFigures">
    <w:name w:val="table of figures"/>
    <w:basedOn w:val="TOC1"/>
    <w:rsid w:val="00A944A7"/>
    <w:pPr>
      <w:ind w:left="0" w:firstLine="0"/>
    </w:pPr>
  </w:style>
  <w:style w:type="paragraph" w:styleId="Title">
    <w:name w:val="Title"/>
    <w:basedOn w:val="MAIN-TITLE"/>
    <w:link w:val="TitleChar"/>
    <w:qFormat/>
    <w:rsid w:val="00A944A7"/>
    <w:rPr>
      <w:kern w:val="28"/>
    </w:rPr>
  </w:style>
  <w:style w:type="character" w:customStyle="1" w:styleId="TitleChar">
    <w:name w:val="Title Char"/>
    <w:link w:val="Title"/>
    <w:rsid w:val="00CB2661"/>
    <w:rPr>
      <w:rFonts w:ascii="Arial" w:eastAsia="Times New Roman" w:hAnsi="Arial" w:cs="Arial"/>
      <w:b/>
      <w:bCs/>
      <w:spacing w:val="8"/>
      <w:kern w:val="28"/>
      <w:sz w:val="24"/>
      <w:szCs w:val="24"/>
      <w:lang w:val="en-GB" w:eastAsia="zh-CN"/>
    </w:rPr>
  </w:style>
  <w:style w:type="paragraph" w:styleId="BlockText">
    <w:name w:val="Block Text"/>
    <w:basedOn w:val="Normal"/>
    <w:rsid w:val="00A944A7"/>
    <w:pPr>
      <w:spacing w:after="120"/>
      <w:ind w:left="1440" w:right="1440"/>
    </w:pPr>
  </w:style>
  <w:style w:type="paragraph" w:customStyle="1" w:styleId="AMD-Heading1">
    <w:name w:val="AMD-Heading1"/>
    <w:basedOn w:val="Heading1"/>
    <w:next w:val="PARAGRAPH"/>
    <w:rsid w:val="00A944A7"/>
    <w:pPr>
      <w:outlineLvl w:val="9"/>
    </w:pPr>
  </w:style>
  <w:style w:type="paragraph" w:customStyle="1" w:styleId="AMD-Heading2">
    <w:name w:val="AMD-Heading2..."/>
    <w:basedOn w:val="Heading2"/>
    <w:next w:val="PARAGRAPH"/>
    <w:rsid w:val="00A944A7"/>
    <w:pPr>
      <w:outlineLvl w:val="9"/>
    </w:pPr>
  </w:style>
  <w:style w:type="paragraph" w:customStyle="1" w:styleId="ANNEX-heading1">
    <w:name w:val="ANNEX-heading1"/>
    <w:basedOn w:val="Heading1"/>
    <w:next w:val="PARAGRAPH"/>
    <w:qFormat/>
    <w:rsid w:val="00A944A7"/>
    <w:pPr>
      <w:numPr>
        <w:ilvl w:val="1"/>
        <w:numId w:val="2"/>
      </w:numPr>
      <w:outlineLvl w:val="1"/>
    </w:pPr>
  </w:style>
  <w:style w:type="paragraph" w:customStyle="1" w:styleId="ANNEX-heading2">
    <w:name w:val="ANNEX-heading2"/>
    <w:basedOn w:val="Heading2"/>
    <w:next w:val="PARAGRAPH"/>
    <w:qFormat/>
    <w:rsid w:val="00A944A7"/>
    <w:pPr>
      <w:numPr>
        <w:ilvl w:val="2"/>
        <w:numId w:val="2"/>
      </w:numPr>
      <w:outlineLvl w:val="2"/>
    </w:pPr>
  </w:style>
  <w:style w:type="paragraph" w:customStyle="1" w:styleId="ANNEX-heading3">
    <w:name w:val="ANNEX-heading3"/>
    <w:basedOn w:val="Heading3"/>
    <w:next w:val="PARAGRAPH"/>
    <w:rsid w:val="00A944A7"/>
    <w:pPr>
      <w:numPr>
        <w:ilvl w:val="3"/>
        <w:numId w:val="2"/>
      </w:numPr>
      <w:outlineLvl w:val="3"/>
    </w:pPr>
  </w:style>
  <w:style w:type="paragraph" w:customStyle="1" w:styleId="ANNEX-heading4">
    <w:name w:val="ANNEX-heading4"/>
    <w:basedOn w:val="Heading4"/>
    <w:next w:val="PARAGRAPH"/>
    <w:rsid w:val="00A944A7"/>
    <w:pPr>
      <w:numPr>
        <w:ilvl w:val="4"/>
        <w:numId w:val="2"/>
      </w:numPr>
      <w:outlineLvl w:val="4"/>
    </w:pPr>
  </w:style>
  <w:style w:type="paragraph" w:customStyle="1" w:styleId="ANNEX-heading5">
    <w:name w:val="ANNEX-heading5"/>
    <w:basedOn w:val="Heading5"/>
    <w:next w:val="PARAGRAPH"/>
    <w:rsid w:val="00A944A7"/>
    <w:pPr>
      <w:numPr>
        <w:ilvl w:val="5"/>
        <w:numId w:val="2"/>
      </w:numPr>
      <w:outlineLvl w:val="5"/>
    </w:pPr>
  </w:style>
  <w:style w:type="character" w:customStyle="1" w:styleId="SUPerscript">
    <w:name w:val="SUPerscript"/>
    <w:rsid w:val="00A944A7"/>
    <w:rPr>
      <w:kern w:val="0"/>
      <w:position w:val="6"/>
      <w:sz w:val="16"/>
      <w:szCs w:val="16"/>
    </w:rPr>
  </w:style>
  <w:style w:type="character" w:customStyle="1" w:styleId="SUBscript">
    <w:name w:val="SUBscript"/>
    <w:rsid w:val="00A944A7"/>
    <w:rPr>
      <w:kern w:val="0"/>
      <w:position w:val="-6"/>
      <w:sz w:val="16"/>
      <w:szCs w:val="16"/>
    </w:rPr>
  </w:style>
  <w:style w:type="paragraph" w:customStyle="1" w:styleId="ListDash">
    <w:name w:val="List Dash"/>
    <w:basedOn w:val="ListBullet"/>
    <w:qFormat/>
    <w:rsid w:val="00A944A7"/>
    <w:pPr>
      <w:numPr>
        <w:numId w:val="4"/>
      </w:numPr>
    </w:pPr>
  </w:style>
  <w:style w:type="paragraph" w:customStyle="1" w:styleId="TERM-number3">
    <w:name w:val="TERM-number 3"/>
    <w:basedOn w:val="Heading3"/>
    <w:next w:val="TERM"/>
    <w:rsid w:val="00A944A7"/>
    <w:pPr>
      <w:spacing w:after="0"/>
      <w:ind w:left="0" w:firstLine="0"/>
    </w:pPr>
  </w:style>
  <w:style w:type="character" w:customStyle="1" w:styleId="SMALLCAPS">
    <w:name w:val="SMALL CAPS"/>
    <w:rsid w:val="00A944A7"/>
    <w:rPr>
      <w:smallCaps/>
      <w:dstrike w:val="0"/>
      <w:vertAlign w:val="baseline"/>
    </w:rPr>
  </w:style>
  <w:style w:type="paragraph" w:customStyle="1" w:styleId="NumberedPARAlevel3">
    <w:name w:val="Numbered PARA (level 3)"/>
    <w:basedOn w:val="Heading3"/>
    <w:rsid w:val="00A944A7"/>
    <w:pPr>
      <w:spacing w:after="200"/>
      <w:ind w:left="0" w:firstLine="0"/>
      <w:jc w:val="both"/>
    </w:pPr>
    <w:rPr>
      <w:b w:val="0"/>
    </w:rPr>
  </w:style>
  <w:style w:type="paragraph" w:customStyle="1" w:styleId="ListDash2">
    <w:name w:val="List Dash 2"/>
    <w:basedOn w:val="ListBullet2"/>
    <w:rsid w:val="00A944A7"/>
    <w:pPr>
      <w:numPr>
        <w:numId w:val="11"/>
      </w:numPr>
      <w:tabs>
        <w:tab w:val="clear" w:pos="340"/>
      </w:tabs>
    </w:pPr>
  </w:style>
  <w:style w:type="paragraph" w:customStyle="1" w:styleId="NumberedPARAlevel2">
    <w:name w:val="Numbered PARA (level 2)"/>
    <w:basedOn w:val="Heading2"/>
    <w:rsid w:val="00A944A7"/>
    <w:pPr>
      <w:spacing w:after="200"/>
      <w:ind w:left="0" w:firstLine="0"/>
      <w:jc w:val="both"/>
    </w:pPr>
    <w:rPr>
      <w:b w:val="0"/>
    </w:rPr>
  </w:style>
  <w:style w:type="paragraph" w:customStyle="1" w:styleId="ListDash3">
    <w:name w:val="List Dash 3"/>
    <w:basedOn w:val="Normal"/>
    <w:rsid w:val="00A944A7"/>
    <w:pPr>
      <w:numPr>
        <w:numId w:val="13"/>
      </w:numPr>
      <w:tabs>
        <w:tab w:val="clear" w:pos="340"/>
        <w:tab w:val="left" w:pos="1021"/>
      </w:tabs>
      <w:snapToGrid w:val="0"/>
      <w:spacing w:after="100"/>
      <w:ind w:left="1020"/>
    </w:pPr>
  </w:style>
  <w:style w:type="paragraph" w:customStyle="1" w:styleId="ListDash4">
    <w:name w:val="List Dash 4"/>
    <w:basedOn w:val="Normal"/>
    <w:rsid w:val="00A944A7"/>
    <w:pPr>
      <w:numPr>
        <w:numId w:val="12"/>
      </w:numPr>
      <w:snapToGrid w:val="0"/>
      <w:spacing w:after="100"/>
    </w:pPr>
  </w:style>
  <w:style w:type="character" w:customStyle="1" w:styleId="PARAGRAPHChar">
    <w:name w:val="PARAGRAPH Char"/>
    <w:link w:val="PARAGRAPH"/>
    <w:rsid w:val="00A944A7"/>
    <w:rPr>
      <w:rFonts w:ascii="Arial" w:eastAsia="Times New Roman" w:hAnsi="Arial" w:cs="Arial"/>
      <w:spacing w:val="8"/>
      <w:lang w:val="en-GB" w:eastAsia="zh-CN" w:bidi="ar-SA"/>
    </w:rPr>
  </w:style>
  <w:style w:type="paragraph" w:styleId="NoSpacing">
    <w:name w:val="No Spacing"/>
    <w:uiPriority w:val="1"/>
    <w:qFormat/>
    <w:rsid w:val="00CB2661"/>
    <w:pPr>
      <w:jc w:val="both"/>
    </w:pPr>
    <w:rPr>
      <w:rFonts w:ascii="Arial" w:eastAsia="Times New Roman" w:hAnsi="Arial" w:cs="Arial"/>
      <w:spacing w:val="8"/>
      <w:lang w:val="en-GB" w:eastAsia="zh-CN"/>
    </w:rPr>
  </w:style>
  <w:style w:type="paragraph" w:styleId="BodyText">
    <w:name w:val="Body Text"/>
    <w:basedOn w:val="Normal"/>
    <w:link w:val="BodyTextChar"/>
    <w:rsid w:val="002C2036"/>
    <w:pPr>
      <w:spacing w:after="120"/>
    </w:pPr>
  </w:style>
  <w:style w:type="character" w:customStyle="1" w:styleId="BodyTextChar">
    <w:name w:val="Body Text Char"/>
    <w:link w:val="BodyText"/>
    <w:rsid w:val="002C2036"/>
    <w:rPr>
      <w:rFonts w:ascii="Arial" w:eastAsia="Times New Roman" w:hAnsi="Arial" w:cs="Arial"/>
      <w:spacing w:val="8"/>
      <w:lang w:val="en-GB" w:eastAsia="zh-CN"/>
    </w:rPr>
  </w:style>
  <w:style w:type="character" w:customStyle="1" w:styleId="FooterChar">
    <w:name w:val="Footer Char"/>
    <w:link w:val="Footer"/>
    <w:rsid w:val="002C2036"/>
    <w:rPr>
      <w:rFonts w:ascii="Arial" w:eastAsia="Times New Roman" w:hAnsi="Arial" w:cs="Arial"/>
      <w:spacing w:val="8"/>
      <w:lang w:val="en-GB" w:eastAsia="zh-CN"/>
    </w:rPr>
  </w:style>
  <w:style w:type="character" w:customStyle="1" w:styleId="PlainTextChar">
    <w:name w:val="Plain Text Char"/>
    <w:link w:val="PlainText"/>
    <w:rsid w:val="00953349"/>
    <w:rPr>
      <w:rFonts w:ascii="Courier New" w:eastAsia="Times New Roman" w:hAnsi="Courier New" w:cs="Arial"/>
      <w:spacing w:val="8"/>
      <w:lang w:val="en-US" w:eastAsia="en-US"/>
    </w:rPr>
  </w:style>
  <w:style w:type="paragraph" w:styleId="Date">
    <w:name w:val="Date"/>
    <w:basedOn w:val="Normal"/>
    <w:next w:val="Normal"/>
    <w:link w:val="DateChar"/>
    <w:rsid w:val="00476D63"/>
  </w:style>
  <w:style w:type="character" w:customStyle="1" w:styleId="DateChar">
    <w:name w:val="Date Char"/>
    <w:link w:val="Date"/>
    <w:rsid w:val="00476D63"/>
    <w:rPr>
      <w:rFonts w:ascii="Arial" w:eastAsia="Times New Roman" w:hAnsi="Arial" w:cs="Arial"/>
      <w:spacing w:val="8"/>
      <w:lang w:val="en-GB"/>
    </w:rPr>
  </w:style>
  <w:style w:type="paragraph" w:styleId="Revision">
    <w:name w:val="Revision"/>
    <w:hidden/>
    <w:uiPriority w:val="99"/>
    <w:semiHidden/>
    <w:rsid w:val="00AD751B"/>
    <w:rPr>
      <w:rFonts w:ascii="Arial" w:eastAsia="Times New Roman" w:hAnsi="Arial" w:cs="Arial"/>
      <w:spacing w:val="8"/>
      <w:lang w:val="en-GB" w:eastAsia="zh-CN"/>
    </w:rPr>
  </w:style>
  <w:style w:type="paragraph" w:customStyle="1" w:styleId="Default">
    <w:name w:val="Default"/>
    <w:rsid w:val="0071526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3627">
      <w:bodyDiv w:val="1"/>
      <w:marLeft w:val="0"/>
      <w:marRight w:val="0"/>
      <w:marTop w:val="0"/>
      <w:marBottom w:val="0"/>
      <w:divBdr>
        <w:top w:val="none" w:sz="0" w:space="0" w:color="auto"/>
        <w:left w:val="none" w:sz="0" w:space="0" w:color="auto"/>
        <w:bottom w:val="none" w:sz="0" w:space="0" w:color="auto"/>
        <w:right w:val="none" w:sz="0" w:space="0" w:color="auto"/>
      </w:divBdr>
    </w:div>
    <w:div w:id="379138422">
      <w:bodyDiv w:val="1"/>
      <w:marLeft w:val="0"/>
      <w:marRight w:val="0"/>
      <w:marTop w:val="0"/>
      <w:marBottom w:val="0"/>
      <w:divBdr>
        <w:top w:val="none" w:sz="0" w:space="0" w:color="auto"/>
        <w:left w:val="none" w:sz="0" w:space="0" w:color="auto"/>
        <w:bottom w:val="none" w:sz="0" w:space="0" w:color="auto"/>
        <w:right w:val="none" w:sz="0" w:space="0" w:color="auto"/>
      </w:divBdr>
    </w:div>
    <w:div w:id="388497922">
      <w:bodyDiv w:val="1"/>
      <w:marLeft w:val="0"/>
      <w:marRight w:val="0"/>
      <w:marTop w:val="0"/>
      <w:marBottom w:val="0"/>
      <w:divBdr>
        <w:top w:val="none" w:sz="0" w:space="0" w:color="auto"/>
        <w:left w:val="none" w:sz="0" w:space="0" w:color="auto"/>
        <w:bottom w:val="none" w:sz="0" w:space="0" w:color="auto"/>
        <w:right w:val="none" w:sz="0" w:space="0" w:color="auto"/>
      </w:divBdr>
      <w:divsChild>
        <w:div w:id="435251682">
          <w:marLeft w:val="0"/>
          <w:marRight w:val="0"/>
          <w:marTop w:val="0"/>
          <w:marBottom w:val="0"/>
          <w:divBdr>
            <w:top w:val="none" w:sz="0" w:space="0" w:color="auto"/>
            <w:left w:val="none" w:sz="0" w:space="0" w:color="auto"/>
            <w:bottom w:val="none" w:sz="0" w:space="0" w:color="auto"/>
            <w:right w:val="none" w:sz="0" w:space="0" w:color="auto"/>
          </w:divBdr>
        </w:div>
        <w:div w:id="1005280253">
          <w:marLeft w:val="0"/>
          <w:marRight w:val="0"/>
          <w:marTop w:val="0"/>
          <w:marBottom w:val="0"/>
          <w:divBdr>
            <w:top w:val="none" w:sz="0" w:space="0" w:color="auto"/>
            <w:left w:val="none" w:sz="0" w:space="0" w:color="auto"/>
            <w:bottom w:val="none" w:sz="0" w:space="0" w:color="auto"/>
            <w:right w:val="none" w:sz="0" w:space="0" w:color="auto"/>
          </w:divBdr>
        </w:div>
        <w:div w:id="1076240542">
          <w:marLeft w:val="0"/>
          <w:marRight w:val="0"/>
          <w:marTop w:val="0"/>
          <w:marBottom w:val="0"/>
          <w:divBdr>
            <w:top w:val="none" w:sz="0" w:space="0" w:color="auto"/>
            <w:left w:val="none" w:sz="0" w:space="0" w:color="auto"/>
            <w:bottom w:val="none" w:sz="0" w:space="0" w:color="auto"/>
            <w:right w:val="none" w:sz="0" w:space="0" w:color="auto"/>
          </w:divBdr>
        </w:div>
        <w:div w:id="1320620927">
          <w:marLeft w:val="0"/>
          <w:marRight w:val="0"/>
          <w:marTop w:val="0"/>
          <w:marBottom w:val="0"/>
          <w:divBdr>
            <w:top w:val="none" w:sz="0" w:space="0" w:color="auto"/>
            <w:left w:val="none" w:sz="0" w:space="0" w:color="auto"/>
            <w:bottom w:val="none" w:sz="0" w:space="0" w:color="auto"/>
            <w:right w:val="none" w:sz="0" w:space="0" w:color="auto"/>
          </w:divBdr>
        </w:div>
        <w:div w:id="1437553418">
          <w:marLeft w:val="0"/>
          <w:marRight w:val="0"/>
          <w:marTop w:val="0"/>
          <w:marBottom w:val="0"/>
          <w:divBdr>
            <w:top w:val="none" w:sz="0" w:space="0" w:color="auto"/>
            <w:left w:val="none" w:sz="0" w:space="0" w:color="auto"/>
            <w:bottom w:val="none" w:sz="0" w:space="0" w:color="auto"/>
            <w:right w:val="none" w:sz="0" w:space="0" w:color="auto"/>
          </w:divBdr>
        </w:div>
        <w:div w:id="1664893904">
          <w:marLeft w:val="0"/>
          <w:marRight w:val="0"/>
          <w:marTop w:val="0"/>
          <w:marBottom w:val="0"/>
          <w:divBdr>
            <w:top w:val="none" w:sz="0" w:space="0" w:color="auto"/>
            <w:left w:val="none" w:sz="0" w:space="0" w:color="auto"/>
            <w:bottom w:val="none" w:sz="0" w:space="0" w:color="auto"/>
            <w:right w:val="none" w:sz="0" w:space="0" w:color="auto"/>
          </w:divBdr>
        </w:div>
        <w:div w:id="1669210414">
          <w:marLeft w:val="0"/>
          <w:marRight w:val="0"/>
          <w:marTop w:val="0"/>
          <w:marBottom w:val="0"/>
          <w:divBdr>
            <w:top w:val="none" w:sz="0" w:space="0" w:color="auto"/>
            <w:left w:val="none" w:sz="0" w:space="0" w:color="auto"/>
            <w:bottom w:val="none" w:sz="0" w:space="0" w:color="auto"/>
            <w:right w:val="none" w:sz="0" w:space="0" w:color="auto"/>
          </w:divBdr>
        </w:div>
        <w:div w:id="1884249631">
          <w:marLeft w:val="0"/>
          <w:marRight w:val="0"/>
          <w:marTop w:val="0"/>
          <w:marBottom w:val="0"/>
          <w:divBdr>
            <w:top w:val="none" w:sz="0" w:space="0" w:color="auto"/>
            <w:left w:val="none" w:sz="0" w:space="0" w:color="auto"/>
            <w:bottom w:val="none" w:sz="0" w:space="0" w:color="auto"/>
            <w:right w:val="none" w:sz="0" w:space="0" w:color="auto"/>
          </w:divBdr>
        </w:div>
        <w:div w:id="1954359821">
          <w:marLeft w:val="0"/>
          <w:marRight w:val="0"/>
          <w:marTop w:val="0"/>
          <w:marBottom w:val="0"/>
          <w:divBdr>
            <w:top w:val="none" w:sz="0" w:space="0" w:color="auto"/>
            <w:left w:val="none" w:sz="0" w:space="0" w:color="auto"/>
            <w:bottom w:val="none" w:sz="0" w:space="0" w:color="auto"/>
            <w:right w:val="none" w:sz="0" w:space="0" w:color="auto"/>
          </w:divBdr>
        </w:div>
        <w:div w:id="2002271789">
          <w:marLeft w:val="0"/>
          <w:marRight w:val="0"/>
          <w:marTop w:val="0"/>
          <w:marBottom w:val="0"/>
          <w:divBdr>
            <w:top w:val="none" w:sz="0" w:space="0" w:color="auto"/>
            <w:left w:val="none" w:sz="0" w:space="0" w:color="auto"/>
            <w:bottom w:val="none" w:sz="0" w:space="0" w:color="auto"/>
            <w:right w:val="none" w:sz="0" w:space="0" w:color="auto"/>
          </w:divBdr>
        </w:div>
        <w:div w:id="2005937047">
          <w:marLeft w:val="0"/>
          <w:marRight w:val="0"/>
          <w:marTop w:val="0"/>
          <w:marBottom w:val="0"/>
          <w:divBdr>
            <w:top w:val="none" w:sz="0" w:space="0" w:color="auto"/>
            <w:left w:val="none" w:sz="0" w:space="0" w:color="auto"/>
            <w:bottom w:val="none" w:sz="0" w:space="0" w:color="auto"/>
            <w:right w:val="none" w:sz="0" w:space="0" w:color="auto"/>
          </w:divBdr>
        </w:div>
      </w:divsChild>
    </w:div>
    <w:div w:id="505368404">
      <w:bodyDiv w:val="1"/>
      <w:marLeft w:val="0"/>
      <w:marRight w:val="0"/>
      <w:marTop w:val="0"/>
      <w:marBottom w:val="0"/>
      <w:divBdr>
        <w:top w:val="none" w:sz="0" w:space="0" w:color="auto"/>
        <w:left w:val="none" w:sz="0" w:space="0" w:color="auto"/>
        <w:bottom w:val="none" w:sz="0" w:space="0" w:color="auto"/>
        <w:right w:val="none" w:sz="0" w:space="0" w:color="auto"/>
      </w:divBdr>
    </w:div>
    <w:div w:id="536040336">
      <w:bodyDiv w:val="1"/>
      <w:marLeft w:val="0"/>
      <w:marRight w:val="0"/>
      <w:marTop w:val="0"/>
      <w:marBottom w:val="0"/>
      <w:divBdr>
        <w:top w:val="none" w:sz="0" w:space="0" w:color="auto"/>
        <w:left w:val="none" w:sz="0" w:space="0" w:color="auto"/>
        <w:bottom w:val="none" w:sz="0" w:space="0" w:color="auto"/>
        <w:right w:val="none" w:sz="0" w:space="0" w:color="auto"/>
      </w:divBdr>
    </w:div>
    <w:div w:id="944922721">
      <w:bodyDiv w:val="1"/>
      <w:marLeft w:val="0"/>
      <w:marRight w:val="0"/>
      <w:marTop w:val="0"/>
      <w:marBottom w:val="0"/>
      <w:divBdr>
        <w:top w:val="none" w:sz="0" w:space="0" w:color="auto"/>
        <w:left w:val="none" w:sz="0" w:space="0" w:color="auto"/>
        <w:bottom w:val="none" w:sz="0" w:space="0" w:color="auto"/>
        <w:right w:val="none" w:sz="0" w:space="0" w:color="auto"/>
      </w:divBdr>
    </w:div>
    <w:div w:id="1012296070">
      <w:bodyDiv w:val="1"/>
      <w:marLeft w:val="0"/>
      <w:marRight w:val="0"/>
      <w:marTop w:val="0"/>
      <w:marBottom w:val="0"/>
      <w:divBdr>
        <w:top w:val="none" w:sz="0" w:space="0" w:color="auto"/>
        <w:left w:val="none" w:sz="0" w:space="0" w:color="auto"/>
        <w:bottom w:val="none" w:sz="0" w:space="0" w:color="auto"/>
        <w:right w:val="none" w:sz="0" w:space="0" w:color="auto"/>
      </w:divBdr>
      <w:divsChild>
        <w:div w:id="1577977928">
          <w:marLeft w:val="0"/>
          <w:marRight w:val="0"/>
          <w:marTop w:val="0"/>
          <w:marBottom w:val="0"/>
          <w:divBdr>
            <w:top w:val="none" w:sz="0" w:space="0" w:color="auto"/>
            <w:left w:val="none" w:sz="0" w:space="0" w:color="auto"/>
            <w:bottom w:val="none" w:sz="0" w:space="0" w:color="auto"/>
            <w:right w:val="none" w:sz="0" w:space="0" w:color="auto"/>
          </w:divBdr>
        </w:div>
      </w:divsChild>
    </w:div>
    <w:div w:id="1428427258">
      <w:bodyDiv w:val="1"/>
      <w:marLeft w:val="0"/>
      <w:marRight w:val="0"/>
      <w:marTop w:val="0"/>
      <w:marBottom w:val="0"/>
      <w:divBdr>
        <w:top w:val="none" w:sz="0" w:space="0" w:color="auto"/>
        <w:left w:val="none" w:sz="0" w:space="0" w:color="auto"/>
        <w:bottom w:val="none" w:sz="0" w:space="0" w:color="auto"/>
        <w:right w:val="none" w:sz="0" w:space="0" w:color="auto"/>
      </w:divBdr>
    </w:div>
    <w:div w:id="1767263638">
      <w:bodyDiv w:val="1"/>
      <w:marLeft w:val="0"/>
      <w:marRight w:val="0"/>
      <w:marTop w:val="0"/>
      <w:marBottom w:val="0"/>
      <w:divBdr>
        <w:top w:val="none" w:sz="0" w:space="0" w:color="auto"/>
        <w:left w:val="none" w:sz="0" w:space="0" w:color="auto"/>
        <w:bottom w:val="none" w:sz="0" w:space="0" w:color="auto"/>
        <w:right w:val="none" w:sz="0" w:space="0" w:color="auto"/>
      </w:divBdr>
    </w:div>
    <w:div w:id="1846942761">
      <w:bodyDiv w:val="1"/>
      <w:marLeft w:val="0"/>
      <w:marRight w:val="0"/>
      <w:marTop w:val="0"/>
      <w:marBottom w:val="0"/>
      <w:divBdr>
        <w:top w:val="none" w:sz="0" w:space="0" w:color="auto"/>
        <w:left w:val="none" w:sz="0" w:space="0" w:color="auto"/>
        <w:bottom w:val="none" w:sz="0" w:space="0" w:color="auto"/>
        <w:right w:val="none" w:sz="0" w:space="0" w:color="auto"/>
      </w:divBdr>
      <w:divsChild>
        <w:div w:id="1512375279">
          <w:marLeft w:val="0"/>
          <w:marRight w:val="0"/>
          <w:marTop w:val="0"/>
          <w:marBottom w:val="0"/>
          <w:divBdr>
            <w:top w:val="none" w:sz="0" w:space="0" w:color="auto"/>
            <w:left w:val="none" w:sz="0" w:space="0" w:color="auto"/>
            <w:bottom w:val="none" w:sz="0" w:space="0" w:color="auto"/>
            <w:right w:val="none" w:sz="0" w:space="0" w:color="auto"/>
          </w:divBdr>
        </w:div>
      </w:divsChild>
    </w:div>
    <w:div w:id="1974824500">
      <w:bodyDiv w:val="1"/>
      <w:marLeft w:val="0"/>
      <w:marRight w:val="0"/>
      <w:marTop w:val="0"/>
      <w:marBottom w:val="0"/>
      <w:divBdr>
        <w:top w:val="none" w:sz="0" w:space="0" w:color="auto"/>
        <w:left w:val="none" w:sz="0" w:space="0" w:color="auto"/>
        <w:bottom w:val="none" w:sz="0" w:space="0" w:color="auto"/>
        <w:right w:val="none" w:sz="0" w:space="0" w:color="auto"/>
      </w:divBdr>
    </w:div>
    <w:div w:id="1996761661">
      <w:bodyDiv w:val="1"/>
      <w:marLeft w:val="0"/>
      <w:marRight w:val="0"/>
      <w:marTop w:val="0"/>
      <w:marBottom w:val="0"/>
      <w:divBdr>
        <w:top w:val="none" w:sz="0" w:space="0" w:color="auto"/>
        <w:left w:val="none" w:sz="0" w:space="0" w:color="auto"/>
        <w:bottom w:val="none" w:sz="0" w:space="0" w:color="auto"/>
        <w:right w:val="none" w:sz="0" w:space="0" w:color="auto"/>
      </w:divBdr>
    </w:div>
    <w:div w:id="2015766686">
      <w:bodyDiv w:val="1"/>
      <w:marLeft w:val="0"/>
      <w:marRight w:val="0"/>
      <w:marTop w:val="0"/>
      <w:marBottom w:val="0"/>
      <w:divBdr>
        <w:top w:val="none" w:sz="0" w:space="0" w:color="auto"/>
        <w:left w:val="none" w:sz="0" w:space="0" w:color="auto"/>
        <w:bottom w:val="none" w:sz="0" w:space="0" w:color="auto"/>
        <w:right w:val="none" w:sz="0" w:space="0" w:color="auto"/>
      </w:divBdr>
    </w:div>
    <w:div w:id="2078550439">
      <w:bodyDiv w:val="1"/>
      <w:marLeft w:val="0"/>
      <w:marRight w:val="0"/>
      <w:marTop w:val="0"/>
      <w:marBottom w:val="0"/>
      <w:divBdr>
        <w:top w:val="none" w:sz="0" w:space="0" w:color="auto"/>
        <w:left w:val="none" w:sz="0" w:space="0" w:color="auto"/>
        <w:bottom w:val="none" w:sz="0" w:space="0" w:color="auto"/>
        <w:right w:val="none" w:sz="0" w:space="0" w:color="auto"/>
      </w:divBdr>
      <w:divsChild>
        <w:div w:id="384960074">
          <w:marLeft w:val="0"/>
          <w:marRight w:val="0"/>
          <w:marTop w:val="0"/>
          <w:marBottom w:val="0"/>
          <w:divBdr>
            <w:top w:val="none" w:sz="0" w:space="0" w:color="auto"/>
            <w:left w:val="none" w:sz="0" w:space="0" w:color="auto"/>
            <w:bottom w:val="none" w:sz="0" w:space="0" w:color="auto"/>
            <w:right w:val="none" w:sz="0" w:space="0" w:color="auto"/>
          </w:divBdr>
        </w:div>
        <w:div w:id="418719787">
          <w:marLeft w:val="0"/>
          <w:marRight w:val="0"/>
          <w:marTop w:val="0"/>
          <w:marBottom w:val="0"/>
          <w:divBdr>
            <w:top w:val="none" w:sz="0" w:space="0" w:color="auto"/>
            <w:left w:val="none" w:sz="0" w:space="0" w:color="auto"/>
            <w:bottom w:val="none" w:sz="0" w:space="0" w:color="auto"/>
            <w:right w:val="none" w:sz="0" w:space="0" w:color="auto"/>
          </w:divBdr>
        </w:div>
        <w:div w:id="471024809">
          <w:marLeft w:val="0"/>
          <w:marRight w:val="0"/>
          <w:marTop w:val="0"/>
          <w:marBottom w:val="0"/>
          <w:divBdr>
            <w:top w:val="none" w:sz="0" w:space="0" w:color="auto"/>
            <w:left w:val="none" w:sz="0" w:space="0" w:color="auto"/>
            <w:bottom w:val="none" w:sz="0" w:space="0" w:color="auto"/>
            <w:right w:val="none" w:sz="0" w:space="0" w:color="auto"/>
          </w:divBdr>
        </w:div>
        <w:div w:id="493766026">
          <w:marLeft w:val="0"/>
          <w:marRight w:val="0"/>
          <w:marTop w:val="0"/>
          <w:marBottom w:val="0"/>
          <w:divBdr>
            <w:top w:val="none" w:sz="0" w:space="0" w:color="auto"/>
            <w:left w:val="none" w:sz="0" w:space="0" w:color="auto"/>
            <w:bottom w:val="none" w:sz="0" w:space="0" w:color="auto"/>
            <w:right w:val="none" w:sz="0" w:space="0" w:color="auto"/>
          </w:divBdr>
        </w:div>
        <w:div w:id="542907189">
          <w:marLeft w:val="0"/>
          <w:marRight w:val="0"/>
          <w:marTop w:val="0"/>
          <w:marBottom w:val="0"/>
          <w:divBdr>
            <w:top w:val="none" w:sz="0" w:space="0" w:color="auto"/>
            <w:left w:val="none" w:sz="0" w:space="0" w:color="auto"/>
            <w:bottom w:val="none" w:sz="0" w:space="0" w:color="auto"/>
            <w:right w:val="none" w:sz="0" w:space="0" w:color="auto"/>
          </w:divBdr>
        </w:div>
        <w:div w:id="553736539">
          <w:marLeft w:val="0"/>
          <w:marRight w:val="0"/>
          <w:marTop w:val="0"/>
          <w:marBottom w:val="0"/>
          <w:divBdr>
            <w:top w:val="none" w:sz="0" w:space="0" w:color="auto"/>
            <w:left w:val="none" w:sz="0" w:space="0" w:color="auto"/>
            <w:bottom w:val="none" w:sz="0" w:space="0" w:color="auto"/>
            <w:right w:val="none" w:sz="0" w:space="0" w:color="auto"/>
          </w:divBdr>
        </w:div>
        <w:div w:id="1111514295">
          <w:marLeft w:val="0"/>
          <w:marRight w:val="0"/>
          <w:marTop w:val="0"/>
          <w:marBottom w:val="0"/>
          <w:divBdr>
            <w:top w:val="none" w:sz="0" w:space="0" w:color="auto"/>
            <w:left w:val="none" w:sz="0" w:space="0" w:color="auto"/>
            <w:bottom w:val="none" w:sz="0" w:space="0" w:color="auto"/>
            <w:right w:val="none" w:sz="0" w:space="0" w:color="auto"/>
          </w:divBdr>
        </w:div>
        <w:div w:id="1180779885">
          <w:marLeft w:val="0"/>
          <w:marRight w:val="0"/>
          <w:marTop w:val="0"/>
          <w:marBottom w:val="0"/>
          <w:divBdr>
            <w:top w:val="none" w:sz="0" w:space="0" w:color="auto"/>
            <w:left w:val="none" w:sz="0" w:space="0" w:color="auto"/>
            <w:bottom w:val="none" w:sz="0" w:space="0" w:color="auto"/>
            <w:right w:val="none" w:sz="0" w:space="0" w:color="auto"/>
          </w:divBdr>
        </w:div>
        <w:div w:id="1384670903">
          <w:marLeft w:val="0"/>
          <w:marRight w:val="0"/>
          <w:marTop w:val="0"/>
          <w:marBottom w:val="0"/>
          <w:divBdr>
            <w:top w:val="none" w:sz="0" w:space="0" w:color="auto"/>
            <w:left w:val="none" w:sz="0" w:space="0" w:color="auto"/>
            <w:bottom w:val="none" w:sz="0" w:space="0" w:color="auto"/>
            <w:right w:val="none" w:sz="0" w:space="0" w:color="auto"/>
          </w:divBdr>
        </w:div>
        <w:div w:id="1402215387">
          <w:marLeft w:val="0"/>
          <w:marRight w:val="0"/>
          <w:marTop w:val="0"/>
          <w:marBottom w:val="0"/>
          <w:divBdr>
            <w:top w:val="none" w:sz="0" w:space="0" w:color="auto"/>
            <w:left w:val="none" w:sz="0" w:space="0" w:color="auto"/>
            <w:bottom w:val="none" w:sz="0" w:space="0" w:color="auto"/>
            <w:right w:val="none" w:sz="0" w:space="0" w:color="auto"/>
          </w:divBdr>
        </w:div>
        <w:div w:id="1456750709">
          <w:marLeft w:val="0"/>
          <w:marRight w:val="0"/>
          <w:marTop w:val="0"/>
          <w:marBottom w:val="0"/>
          <w:divBdr>
            <w:top w:val="none" w:sz="0" w:space="0" w:color="auto"/>
            <w:left w:val="none" w:sz="0" w:space="0" w:color="auto"/>
            <w:bottom w:val="none" w:sz="0" w:space="0" w:color="auto"/>
            <w:right w:val="none" w:sz="0" w:space="0" w:color="auto"/>
          </w:divBdr>
        </w:div>
        <w:div w:id="1619483722">
          <w:marLeft w:val="0"/>
          <w:marRight w:val="0"/>
          <w:marTop w:val="0"/>
          <w:marBottom w:val="0"/>
          <w:divBdr>
            <w:top w:val="none" w:sz="0" w:space="0" w:color="auto"/>
            <w:left w:val="none" w:sz="0" w:space="0" w:color="auto"/>
            <w:bottom w:val="none" w:sz="0" w:space="0" w:color="auto"/>
            <w:right w:val="none" w:sz="0" w:space="0" w:color="auto"/>
          </w:divBdr>
        </w:div>
        <w:div w:id="2029332571">
          <w:marLeft w:val="0"/>
          <w:marRight w:val="0"/>
          <w:marTop w:val="0"/>
          <w:marBottom w:val="0"/>
          <w:divBdr>
            <w:top w:val="none" w:sz="0" w:space="0" w:color="auto"/>
            <w:left w:val="none" w:sz="0" w:space="0" w:color="auto"/>
            <w:bottom w:val="none" w:sz="0" w:space="0" w:color="auto"/>
            <w:right w:val="none" w:sz="0" w:space="0" w:color="auto"/>
          </w:divBdr>
        </w:div>
        <w:div w:id="210475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AppData\Roaming\Microsoft\Templates\iecst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iecstd.dot</Template>
  <TotalTime>1</TotalTime>
  <Pages>5</Pages>
  <Words>1202</Words>
  <Characters>6351</Characters>
  <Application>Microsoft Office Word</Application>
  <DocSecurity>4</DocSecurity>
  <Lines>52</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Training of IECEx Assessors</vt:lpstr>
      <vt:lpstr>Training of IECEx Assessors</vt:lpstr>
    </vt:vector>
  </TitlesOfParts>
  <Company>Jim Munro International Compliance Pty Ltd</Company>
  <LinksUpToDate>false</LinksUpToDate>
  <CharactersWithSpaces>7538</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of IECEx Assessors</dc:title>
  <dc:subject/>
  <dc:creator>Jim Munro</dc:creator>
  <cp:keywords/>
  <cp:lastModifiedBy>Agius, Chris</cp:lastModifiedBy>
  <cp:revision>2</cp:revision>
  <dcterms:created xsi:type="dcterms:W3CDTF">2022-09-01T15:49:00Z</dcterms:created>
  <dcterms:modified xsi:type="dcterms:W3CDTF">2022-09-01T15:49:00Z</dcterms:modified>
</cp:coreProperties>
</file>