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28" w:rsidRDefault="0000687B">
      <w:r>
        <w:t xml:space="preserve">Summary of responses received by </w:t>
      </w:r>
      <w:r w:rsidRPr="0000687B">
        <w:rPr>
          <w:highlight w:val="cyan"/>
        </w:rPr>
        <w:t>5</w:t>
      </w:r>
      <w:r w:rsidRPr="0000687B">
        <w:rPr>
          <w:highlight w:val="cyan"/>
          <w:vertAlign w:val="superscript"/>
        </w:rPr>
        <w:t>th</w:t>
      </w:r>
      <w:r w:rsidRPr="0000687B">
        <w:rPr>
          <w:highlight w:val="cyan"/>
        </w:rPr>
        <w:t xml:space="preserve"> March 2020</w:t>
      </w:r>
      <w:r>
        <w:t xml:space="preserve"> to the following:</w:t>
      </w:r>
    </w:p>
    <w:p w:rsidR="0000687B" w:rsidRDefault="0000687B"/>
    <w:p w:rsidR="0000687B" w:rsidRPr="0000687B" w:rsidRDefault="0000687B" w:rsidP="0000687B">
      <w:pPr>
        <w:ind w:left="6480" w:firstLine="720"/>
        <w:rPr>
          <w:color w:val="1F497D"/>
          <w:sz w:val="20"/>
          <w:szCs w:val="20"/>
        </w:rPr>
      </w:pPr>
      <w:bookmarkStart w:id="0" w:name="_GoBack"/>
      <w:bookmarkEnd w:id="0"/>
      <w:r w:rsidRPr="0000687B">
        <w:rPr>
          <w:color w:val="1F497D"/>
          <w:sz w:val="20"/>
          <w:szCs w:val="20"/>
        </w:rPr>
        <w:t>10th February 2020</w:t>
      </w:r>
    </w:p>
    <w:p w:rsidR="0000687B" w:rsidRDefault="0000687B" w:rsidP="0000687B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Dear Ian and Theo,</w:t>
      </w:r>
    </w:p>
    <w:p w:rsidR="0000687B" w:rsidRDefault="0000687B" w:rsidP="0000687B">
      <w:pPr>
        <w:rPr>
          <w:color w:val="1F497D"/>
          <w:sz w:val="20"/>
          <w:szCs w:val="20"/>
        </w:rPr>
      </w:pPr>
    </w:p>
    <w:p w:rsidR="0000687B" w:rsidRDefault="0000687B" w:rsidP="0000687B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Further to the original email below</w:t>
      </w:r>
      <w:r>
        <w:rPr>
          <w:color w:val="1F497D"/>
          <w:sz w:val="20"/>
          <w:szCs w:val="20"/>
        </w:rPr>
        <w:t xml:space="preserve"> (of 21</w:t>
      </w:r>
      <w:r w:rsidRPr="0000687B">
        <w:rPr>
          <w:color w:val="1F497D"/>
          <w:sz w:val="20"/>
          <w:szCs w:val="20"/>
          <w:vertAlign w:val="superscript"/>
        </w:rPr>
        <w:t>st</w:t>
      </w:r>
      <w:r>
        <w:rPr>
          <w:color w:val="1F497D"/>
          <w:sz w:val="20"/>
          <w:szCs w:val="20"/>
        </w:rPr>
        <w:t xml:space="preserve"> May 2019)</w:t>
      </w:r>
      <w:r>
        <w:rPr>
          <w:color w:val="1F497D"/>
          <w:sz w:val="20"/>
          <w:szCs w:val="20"/>
        </w:rPr>
        <w:t xml:space="preserve">, this matter was discussed at the May 2019 meeting of the </w:t>
      </w:r>
      <w:proofErr w:type="spellStart"/>
      <w:r>
        <w:rPr>
          <w:color w:val="1F497D"/>
          <w:sz w:val="20"/>
          <w:szCs w:val="20"/>
        </w:rPr>
        <w:t>ExSFC</w:t>
      </w:r>
      <w:proofErr w:type="spellEnd"/>
      <w:r>
        <w:rPr>
          <w:color w:val="1F497D"/>
          <w:sz w:val="20"/>
          <w:szCs w:val="20"/>
        </w:rPr>
        <w:t xml:space="preserve"> in Singapore and I am now writing to you on behalf of the </w:t>
      </w:r>
      <w:proofErr w:type="spellStart"/>
      <w:r>
        <w:rPr>
          <w:color w:val="1F497D"/>
          <w:sz w:val="20"/>
          <w:szCs w:val="20"/>
        </w:rPr>
        <w:t>ExSFC</w:t>
      </w:r>
      <w:proofErr w:type="spellEnd"/>
      <w:r>
        <w:rPr>
          <w:color w:val="1F497D"/>
          <w:sz w:val="20"/>
          <w:szCs w:val="20"/>
        </w:rPr>
        <w:t xml:space="preserve"> WG5 Convenor and the </w:t>
      </w:r>
      <w:proofErr w:type="spellStart"/>
      <w:r>
        <w:rPr>
          <w:color w:val="1F497D"/>
          <w:sz w:val="20"/>
          <w:szCs w:val="20"/>
        </w:rPr>
        <w:t>ExSFC</w:t>
      </w:r>
      <w:proofErr w:type="spellEnd"/>
      <w:r>
        <w:rPr>
          <w:color w:val="1F497D"/>
          <w:sz w:val="20"/>
          <w:szCs w:val="20"/>
        </w:rPr>
        <w:t xml:space="preserve"> Chairman to again request the information below so that this can be considered as part of planning of how to certify the repair of non-electrical equipment in the IECEx 03-5 Scheme:</w:t>
      </w:r>
    </w:p>
    <w:p w:rsidR="0000687B" w:rsidRDefault="0000687B" w:rsidP="0000687B">
      <w:pPr>
        <w:rPr>
          <w:color w:val="1F497D"/>
          <w:sz w:val="20"/>
          <w:szCs w:val="20"/>
        </w:rPr>
      </w:pPr>
    </w:p>
    <w:p w:rsidR="0000687B" w:rsidRDefault="0000687B" w:rsidP="0000687B">
      <w:p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explaining how the assessments for IECEx DEK S0004 and GB/SIR /FAR10.0003/07 were done</w:t>
      </w:r>
    </w:p>
    <w:p w:rsidR="0000687B" w:rsidRDefault="0000687B" w:rsidP="0000687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explain to the IECEx SFC WG05 how you performed the assessment, specifically in the field of the Non-electrical part of the repair </w:t>
      </w:r>
      <w:proofErr w:type="gramStart"/>
      <w:r>
        <w:rPr>
          <w:rFonts w:ascii="Arial" w:hAnsi="Arial" w:cs="Arial"/>
          <w:sz w:val="22"/>
          <w:szCs w:val="22"/>
        </w:rPr>
        <w:t>facility 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00687B" w:rsidRPr="0000687B" w:rsidRDefault="0000687B" w:rsidP="0000687B">
      <w:pPr>
        <w:pStyle w:val="ListParagraph"/>
        <w:rPr>
          <w:rFonts w:ascii="Arial" w:hAnsi="Arial" w:cs="Arial"/>
          <w:color w:val="FF0000"/>
          <w:sz w:val="22"/>
          <w:szCs w:val="22"/>
        </w:rPr>
      </w:pPr>
      <w:r w:rsidRPr="0000687B">
        <w:rPr>
          <w:rFonts w:ascii="Arial" w:hAnsi="Arial" w:cs="Arial"/>
          <w:color w:val="FF0000"/>
          <w:sz w:val="22"/>
          <w:szCs w:val="22"/>
        </w:rPr>
        <w:t>DEKRA: for the audit we apply IEC 60079-19 chapter 4 (general requirements), Annex A and Annex B. Other clauses of -19 are not applicable. We also apply OD 314-5, clauses 3 and 8 and, if Ex d is in the scope, we also apply OD 315-5.</w:t>
      </w:r>
    </w:p>
    <w:p w:rsidR="0000687B" w:rsidRDefault="0000687B" w:rsidP="0000687B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0687B" w:rsidRDefault="0000687B" w:rsidP="0000687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you look at the documentation collection of the repair facility, what kind of format did you use for the reporting if the Non-electrical </w:t>
      </w:r>
      <w:proofErr w:type="gramStart"/>
      <w:r>
        <w:rPr>
          <w:rFonts w:ascii="Arial" w:hAnsi="Arial" w:cs="Arial"/>
          <w:sz w:val="22"/>
          <w:szCs w:val="22"/>
        </w:rPr>
        <w:t>part ? </w:t>
      </w:r>
      <w:proofErr w:type="gramEnd"/>
    </w:p>
    <w:p w:rsidR="0000687B" w:rsidRPr="0000687B" w:rsidRDefault="0000687B" w:rsidP="0000687B">
      <w:pPr>
        <w:pStyle w:val="ListParagraph"/>
        <w:rPr>
          <w:rFonts w:ascii="Arial" w:hAnsi="Arial" w:cs="Arial"/>
          <w:color w:val="FF0000"/>
          <w:sz w:val="22"/>
          <w:szCs w:val="22"/>
        </w:rPr>
      </w:pPr>
      <w:r w:rsidRPr="0000687B">
        <w:rPr>
          <w:rFonts w:ascii="Arial" w:hAnsi="Arial" w:cs="Arial"/>
          <w:color w:val="FF0000"/>
          <w:sz w:val="22"/>
          <w:szCs w:val="22"/>
        </w:rPr>
        <w:t>DEKRA: documentation is assessed and reported in the FAR using chapter 4 of -19. Repair facilities for non-electrical equipment use their own templates for reporting their work, which are reviewed by us during the audit.</w:t>
      </w:r>
    </w:p>
    <w:p w:rsidR="0000687B" w:rsidRDefault="0000687B" w:rsidP="0000687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00687B" w:rsidRDefault="0000687B" w:rsidP="0000687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check if repair facilities make an ignition hazard assessment if documentation is not present during the </w:t>
      </w:r>
      <w:proofErr w:type="gramStart"/>
      <w:r>
        <w:rPr>
          <w:rFonts w:ascii="Arial" w:hAnsi="Arial" w:cs="Arial"/>
          <w:sz w:val="22"/>
          <w:szCs w:val="22"/>
        </w:rPr>
        <w:t>repair ?</w:t>
      </w:r>
      <w:proofErr w:type="gramEnd"/>
    </w:p>
    <w:p w:rsidR="0000687B" w:rsidRPr="0000687B" w:rsidRDefault="0000687B" w:rsidP="0000687B">
      <w:pPr>
        <w:pStyle w:val="ListParagraph"/>
        <w:rPr>
          <w:rFonts w:ascii="Arial" w:hAnsi="Arial" w:cs="Arial"/>
          <w:color w:val="FF0000"/>
          <w:sz w:val="22"/>
          <w:szCs w:val="22"/>
        </w:rPr>
      </w:pPr>
      <w:r w:rsidRPr="0000687B">
        <w:rPr>
          <w:rFonts w:ascii="Arial" w:hAnsi="Arial" w:cs="Arial"/>
          <w:color w:val="FF0000"/>
          <w:sz w:val="22"/>
          <w:szCs w:val="22"/>
        </w:rPr>
        <w:t>DEKRA: an IHA is required if modifications are made to the equipment under repair, which is generally not the case. Repair is conducted using OEM parts or by 1:1 copy of the original part.</w:t>
      </w:r>
    </w:p>
    <w:p w:rsidR="0000687B" w:rsidRDefault="0000687B"/>
    <w:sectPr w:rsidR="00006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6146"/>
    <w:multiLevelType w:val="hybridMultilevel"/>
    <w:tmpl w:val="F764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7B"/>
    <w:rsid w:val="0000687B"/>
    <w:rsid w:val="00306C28"/>
    <w:rsid w:val="00E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57897-9FFA-4C69-83EA-DC24A74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7B"/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7B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1</cp:revision>
  <dcterms:created xsi:type="dcterms:W3CDTF">2020-03-05T04:55:00Z</dcterms:created>
  <dcterms:modified xsi:type="dcterms:W3CDTF">2020-03-05T05:05:00Z</dcterms:modified>
</cp:coreProperties>
</file>