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EFE" w:rsidRPr="007E6606" w:rsidRDefault="00F76AD5">
      <w:pPr>
        <w:rPr>
          <w:b/>
          <w:sz w:val="24"/>
          <w:szCs w:val="24"/>
        </w:rPr>
      </w:pPr>
      <w:r w:rsidRPr="007E6606">
        <w:rPr>
          <w:rFonts w:hint="eastAsia"/>
          <w:b/>
          <w:sz w:val="24"/>
          <w:szCs w:val="24"/>
        </w:rPr>
        <w:t xml:space="preserve">4.4 </w:t>
      </w:r>
      <w:r w:rsidRPr="007E6606">
        <w:rPr>
          <w:rFonts w:hint="eastAsia"/>
          <w:b/>
          <w:sz w:val="24"/>
          <w:szCs w:val="24"/>
        </w:rPr>
        <w:tab/>
        <w:t xml:space="preserve">Unit Ex 002 </w:t>
      </w:r>
      <w:r w:rsidRPr="007E6606">
        <w:rPr>
          <w:b/>
          <w:sz w:val="24"/>
          <w:szCs w:val="24"/>
        </w:rPr>
        <w:t>–</w:t>
      </w:r>
      <w:r w:rsidRPr="007E6606">
        <w:rPr>
          <w:rFonts w:hint="eastAsia"/>
          <w:b/>
          <w:sz w:val="24"/>
          <w:szCs w:val="24"/>
        </w:rPr>
        <w:t xml:space="preserve"> Perform </w:t>
      </w:r>
      <w:r w:rsidRPr="007E6606">
        <w:rPr>
          <w:b/>
          <w:sz w:val="24"/>
          <w:szCs w:val="24"/>
        </w:rPr>
        <w:t>classification of hazardous areas</w:t>
      </w:r>
    </w:p>
    <w:p w:rsidR="00F76AD5" w:rsidRPr="0031074B" w:rsidRDefault="00F76AD5">
      <w:pPr>
        <w:rPr>
          <w:b/>
          <w:sz w:val="20"/>
          <w:szCs w:val="20"/>
        </w:rPr>
      </w:pPr>
      <w:r w:rsidRPr="0031074B">
        <w:rPr>
          <w:b/>
          <w:sz w:val="20"/>
          <w:szCs w:val="20"/>
        </w:rPr>
        <w:t>4.4.1</w:t>
      </w:r>
      <w:r w:rsidRPr="0031074B">
        <w:rPr>
          <w:b/>
          <w:sz w:val="20"/>
          <w:szCs w:val="20"/>
        </w:rPr>
        <w:tab/>
        <w:t>Scope</w:t>
      </w:r>
    </w:p>
    <w:p w:rsidR="00F76AD5" w:rsidRPr="0031074B" w:rsidRDefault="00F76AD5">
      <w:pPr>
        <w:rPr>
          <w:sz w:val="20"/>
          <w:szCs w:val="20"/>
        </w:rPr>
      </w:pPr>
      <w:r w:rsidRPr="0031074B">
        <w:rPr>
          <w:sz w:val="20"/>
          <w:szCs w:val="20"/>
        </w:rPr>
        <w:t>This unit of Competence covers knowledge and skills to classify areas where explosive materials may exist.  It requires the ability to gather and analyse data relative to explosion</w:t>
      </w:r>
      <w:r w:rsidR="005B10C6" w:rsidRPr="0031074B">
        <w:rPr>
          <w:sz w:val="20"/>
          <w:szCs w:val="20"/>
        </w:rPr>
        <w:t xml:space="preserve"> hazards, determine the extent of risk and establish and document zones (nothing that the zoning of hazardous areas can be different depending on national regulations and rules).</w:t>
      </w:r>
    </w:p>
    <w:p w:rsidR="005B10C6" w:rsidRPr="0031074B" w:rsidRDefault="005B10C6">
      <w:pPr>
        <w:rPr>
          <w:sz w:val="20"/>
          <w:szCs w:val="20"/>
        </w:rPr>
      </w:pPr>
      <w:r w:rsidRPr="0031074B">
        <w:rPr>
          <w:sz w:val="20"/>
          <w:szCs w:val="20"/>
        </w:rPr>
        <w:t>This unit of competence is based on IEC 60079-10-1 and IEC 60079-10-2 and any other relevant standards that apply to this Unit of Competence.</w:t>
      </w:r>
    </w:p>
    <w:p w:rsidR="005B10C6" w:rsidRPr="0031074B" w:rsidRDefault="005B10C6">
      <w:pPr>
        <w:rPr>
          <w:b/>
          <w:sz w:val="20"/>
          <w:szCs w:val="20"/>
        </w:rPr>
      </w:pPr>
      <w:r w:rsidRPr="0031074B">
        <w:rPr>
          <w:b/>
          <w:sz w:val="20"/>
          <w:szCs w:val="20"/>
        </w:rPr>
        <w:t>4.4.2</w:t>
      </w:r>
      <w:r w:rsidR="007E5E39">
        <w:rPr>
          <w:b/>
          <w:sz w:val="20"/>
          <w:szCs w:val="20"/>
        </w:rPr>
        <w:tab/>
        <w:t>Prerequisites</w:t>
      </w:r>
    </w:p>
    <w:p w:rsidR="005B10C6" w:rsidRPr="0031074B" w:rsidRDefault="005B10C6">
      <w:pPr>
        <w:rPr>
          <w:sz w:val="20"/>
          <w:szCs w:val="20"/>
        </w:rPr>
      </w:pPr>
      <w:r w:rsidRPr="0031074B">
        <w:rPr>
          <w:sz w:val="20"/>
          <w:szCs w:val="20"/>
        </w:rPr>
        <w:t>Competence in this unit requires a degree, diploma or equivalent in technical subject.</w:t>
      </w:r>
    </w:p>
    <w:p w:rsidR="005B10C6" w:rsidRDefault="005B10C6" w:rsidP="00897A2C">
      <w:pPr>
        <w:pStyle w:val="NoSpacing"/>
        <w:rPr>
          <w:sz w:val="20"/>
          <w:szCs w:val="20"/>
        </w:rPr>
      </w:pPr>
      <w:r w:rsidRPr="00897A2C">
        <w:rPr>
          <w:sz w:val="20"/>
          <w:szCs w:val="20"/>
        </w:rPr>
        <w:t xml:space="preserve">For an operative this area of classification should be carried out by those who </w:t>
      </w:r>
      <w:r w:rsidR="00AB3FFE" w:rsidRPr="00897A2C">
        <w:rPr>
          <w:sz w:val="20"/>
          <w:szCs w:val="20"/>
        </w:rPr>
        <w:t>have</w:t>
      </w:r>
      <w:r w:rsidRPr="00897A2C">
        <w:rPr>
          <w:sz w:val="20"/>
          <w:szCs w:val="20"/>
        </w:rPr>
        <w:t xml:space="preserve"> a comprehensive  understanding</w:t>
      </w:r>
      <w:r w:rsidR="00912CFE">
        <w:rPr>
          <w:sz w:val="20"/>
          <w:szCs w:val="20"/>
        </w:rPr>
        <w:t xml:space="preserve"> of </w:t>
      </w:r>
      <w:r w:rsidRPr="00897A2C">
        <w:rPr>
          <w:sz w:val="20"/>
          <w:szCs w:val="20"/>
        </w:rPr>
        <w:t>pr</w:t>
      </w:r>
      <w:r w:rsidR="00AB3FFE" w:rsidRPr="00897A2C">
        <w:rPr>
          <w:sz w:val="20"/>
          <w:szCs w:val="20"/>
        </w:rPr>
        <w:t>operties of flammable materials, area classification and zoning processes and equipment types, along with electrical and mechanical safety.</w:t>
      </w:r>
    </w:p>
    <w:p w:rsidR="00897A2C" w:rsidRPr="00897A2C" w:rsidRDefault="00897A2C" w:rsidP="00897A2C">
      <w:pPr>
        <w:pStyle w:val="NoSpacing"/>
        <w:rPr>
          <w:sz w:val="20"/>
          <w:szCs w:val="20"/>
        </w:rPr>
      </w:pPr>
    </w:p>
    <w:p w:rsidR="00287BAE" w:rsidRDefault="00AB3FFE">
      <w:pPr>
        <w:rPr>
          <w:sz w:val="20"/>
          <w:szCs w:val="20"/>
        </w:rPr>
      </w:pPr>
      <w:r w:rsidRPr="0031074B">
        <w:rPr>
          <w:rFonts w:hint="eastAsia"/>
          <w:sz w:val="20"/>
          <w:szCs w:val="20"/>
        </w:rPr>
        <w:t xml:space="preserve">For a responsible person this unit should be carried out by those who understand the relevance and significance of properties of flammable materials the processes and procedures for documenting and recording equipment types/selection, competence and </w:t>
      </w:r>
      <w:r w:rsidRPr="0031074B">
        <w:rPr>
          <w:sz w:val="20"/>
          <w:szCs w:val="20"/>
        </w:rPr>
        <w:t>electrical</w:t>
      </w:r>
      <w:r w:rsidRPr="0031074B">
        <w:rPr>
          <w:rFonts w:hint="eastAsia"/>
          <w:sz w:val="20"/>
          <w:szCs w:val="20"/>
        </w:rPr>
        <w:t xml:space="preserve"> </w:t>
      </w:r>
      <w:r w:rsidRPr="0031074B">
        <w:rPr>
          <w:sz w:val="20"/>
          <w:szCs w:val="20"/>
        </w:rPr>
        <w:t>and mechanical safety.</w:t>
      </w:r>
      <w:r w:rsidR="007E5E39">
        <w:rPr>
          <w:sz w:val="20"/>
          <w:szCs w:val="20"/>
        </w:rPr>
        <w:t xml:space="preserve"> </w:t>
      </w:r>
    </w:p>
    <w:p w:rsidR="00AB3FFE" w:rsidRPr="0031074B" w:rsidRDefault="002D262D">
      <w:pPr>
        <w:rPr>
          <w:b/>
          <w:sz w:val="20"/>
          <w:szCs w:val="20"/>
        </w:rPr>
      </w:pPr>
      <w:bookmarkStart w:id="0" w:name="_GoBack"/>
      <w:bookmarkEnd w:id="0"/>
      <w:r w:rsidRPr="0031074B">
        <w:rPr>
          <w:b/>
          <w:sz w:val="20"/>
          <w:szCs w:val="20"/>
        </w:rPr>
        <w:t>4.4.3 Elements and performance criteria</w:t>
      </w:r>
    </w:p>
    <w:p w:rsidR="002D262D" w:rsidRPr="0031074B" w:rsidRDefault="002D262D">
      <w:pPr>
        <w:rPr>
          <w:b/>
          <w:sz w:val="20"/>
          <w:szCs w:val="20"/>
        </w:rPr>
      </w:pPr>
      <w:r w:rsidRPr="0031074B">
        <w:rPr>
          <w:b/>
          <w:sz w:val="20"/>
          <w:szCs w:val="20"/>
        </w:rPr>
        <w:t xml:space="preserve">4.4.3.1 </w:t>
      </w:r>
      <w:r w:rsidRPr="0031074B">
        <w:rPr>
          <w:b/>
          <w:sz w:val="20"/>
          <w:szCs w:val="20"/>
        </w:rPr>
        <w:tab/>
      </w:r>
      <w:r w:rsidRPr="0031074B">
        <w:rPr>
          <w:b/>
          <w:sz w:val="20"/>
          <w:szCs w:val="20"/>
        </w:rPr>
        <w:tab/>
        <w:t>Criteria for an operative</w:t>
      </w:r>
    </w:p>
    <w:tbl>
      <w:tblPr>
        <w:tblStyle w:val="TableGrid"/>
        <w:tblW w:w="0" w:type="auto"/>
        <w:tblLook w:val="04A0" w:firstRow="1" w:lastRow="0" w:firstColumn="1" w:lastColumn="0" w:noHBand="0" w:noVBand="1"/>
      </w:tblPr>
      <w:tblGrid>
        <w:gridCol w:w="562"/>
        <w:gridCol w:w="1843"/>
        <w:gridCol w:w="709"/>
        <w:gridCol w:w="2693"/>
        <w:gridCol w:w="3209"/>
      </w:tblGrid>
      <w:tr w:rsidR="002D262D" w:rsidRPr="0031074B" w:rsidTr="0031074B">
        <w:tc>
          <w:tcPr>
            <w:tcW w:w="2405" w:type="dxa"/>
            <w:gridSpan w:val="2"/>
            <w:vAlign w:val="center"/>
          </w:tcPr>
          <w:p w:rsidR="002D262D" w:rsidRPr="00C7032E" w:rsidRDefault="002D262D" w:rsidP="002D262D">
            <w:pPr>
              <w:jc w:val="center"/>
              <w:rPr>
                <w:rFonts w:eastAsia="PMingLiU" w:cs="Times New Roman"/>
                <w:b/>
                <w:color w:val="000000"/>
                <w:sz w:val="20"/>
                <w:szCs w:val="20"/>
                <w:lang w:val="en-US" w:eastAsia="zh-TW"/>
              </w:rPr>
            </w:pPr>
            <w:r w:rsidRPr="00C7032E">
              <w:rPr>
                <w:rFonts w:eastAsia="PMingLiU" w:cs="Times New Roman"/>
                <w:b/>
                <w:color w:val="000000"/>
                <w:sz w:val="20"/>
                <w:szCs w:val="20"/>
                <w:lang w:val="en-US" w:eastAsia="zh-TW"/>
              </w:rPr>
              <w:t>Elements</w:t>
            </w:r>
          </w:p>
        </w:tc>
        <w:tc>
          <w:tcPr>
            <w:tcW w:w="3402" w:type="dxa"/>
            <w:gridSpan w:val="2"/>
            <w:vAlign w:val="center"/>
          </w:tcPr>
          <w:p w:rsidR="002D262D" w:rsidRPr="00C7032E" w:rsidRDefault="002D262D" w:rsidP="002D262D">
            <w:pPr>
              <w:jc w:val="cente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Performance criteria</w:t>
            </w:r>
          </w:p>
        </w:tc>
        <w:tc>
          <w:tcPr>
            <w:tcW w:w="3209" w:type="dxa"/>
            <w:vAlign w:val="center"/>
          </w:tcPr>
          <w:p w:rsidR="002D262D" w:rsidRPr="00C7032E" w:rsidRDefault="002D262D" w:rsidP="002D262D">
            <w:pPr>
              <w:jc w:val="cente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Critical aspects of evidence</w:t>
            </w:r>
          </w:p>
        </w:tc>
      </w:tr>
      <w:tr w:rsidR="0031074B" w:rsidRPr="0031074B" w:rsidTr="0031074B">
        <w:tc>
          <w:tcPr>
            <w:tcW w:w="562" w:type="dxa"/>
            <w:vMerge w:val="restart"/>
          </w:tcPr>
          <w:p w:rsidR="0031074B" w:rsidRDefault="0031074B">
            <w:pPr>
              <w:rPr>
                <w:sz w:val="20"/>
                <w:szCs w:val="20"/>
              </w:rPr>
            </w:pPr>
            <w:r w:rsidRPr="0031074B">
              <w:rPr>
                <w:sz w:val="20"/>
                <w:szCs w:val="20"/>
              </w:rPr>
              <w:t>2.1</w:t>
            </w: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Default="0031074B">
            <w:pPr>
              <w:rPr>
                <w:sz w:val="20"/>
                <w:szCs w:val="20"/>
              </w:rPr>
            </w:pPr>
          </w:p>
          <w:p w:rsidR="0031074B" w:rsidRPr="0031074B" w:rsidRDefault="0031074B">
            <w:pPr>
              <w:rPr>
                <w:sz w:val="20"/>
                <w:szCs w:val="20"/>
              </w:rPr>
            </w:pPr>
          </w:p>
        </w:tc>
        <w:tc>
          <w:tcPr>
            <w:tcW w:w="1843" w:type="dxa"/>
            <w:vMerge w:val="restart"/>
          </w:tcPr>
          <w:p w:rsidR="0031074B" w:rsidRPr="0031074B" w:rsidRDefault="0031074B">
            <w:pPr>
              <w:rPr>
                <w:sz w:val="20"/>
                <w:szCs w:val="20"/>
              </w:rPr>
            </w:pPr>
            <w:r w:rsidRPr="00C7032E">
              <w:rPr>
                <w:rFonts w:eastAsia="PMingLiU" w:cs="Times New Roman"/>
                <w:color w:val="000000"/>
                <w:sz w:val="20"/>
                <w:szCs w:val="20"/>
                <w:lang w:val="en-US" w:eastAsia="zh-TW"/>
              </w:rPr>
              <w:t>Determine the type and extent of explosion hazard</w:t>
            </w:r>
          </w:p>
        </w:tc>
        <w:tc>
          <w:tcPr>
            <w:tcW w:w="709" w:type="dxa"/>
          </w:tcPr>
          <w:p w:rsidR="0031074B" w:rsidRPr="0031074B" w:rsidRDefault="0031074B">
            <w:pPr>
              <w:rPr>
                <w:sz w:val="20"/>
                <w:szCs w:val="20"/>
              </w:rPr>
            </w:pPr>
            <w:r w:rsidRPr="0031074B">
              <w:rPr>
                <w:rFonts w:hint="eastAsia"/>
                <w:sz w:val="20"/>
                <w:szCs w:val="20"/>
              </w:rPr>
              <w:t>2.1.1</w:t>
            </w:r>
          </w:p>
        </w:tc>
        <w:tc>
          <w:tcPr>
            <w:tcW w:w="2693" w:type="dxa"/>
          </w:tcPr>
          <w:p w:rsidR="004B2FF1" w:rsidRPr="0031074B" w:rsidRDefault="0031074B" w:rsidP="004B2FF1">
            <w:pPr>
              <w:rPr>
                <w:b/>
                <w:sz w:val="20"/>
                <w:szCs w:val="20"/>
              </w:rPr>
            </w:pPr>
            <w:r w:rsidRPr="00C7032E">
              <w:rPr>
                <w:rFonts w:eastAsia="PMingLiU" w:cs="Times New Roman"/>
                <w:color w:val="000000"/>
                <w:sz w:val="20"/>
                <w:szCs w:val="20"/>
                <w:lang w:val="en-US" w:eastAsia="zh-TW"/>
              </w:rPr>
              <w:t>Functions and process equipment in the area are determined and hazardous materials identified from specifications, hazard and risk and/or written consultation with process specialist personnel</w:t>
            </w:r>
          </w:p>
        </w:tc>
        <w:tc>
          <w:tcPr>
            <w:tcW w:w="3209" w:type="dxa"/>
          </w:tcPr>
          <w:p w:rsidR="0031074B" w:rsidRPr="0031074B" w:rsidRDefault="0031074B">
            <w:pPr>
              <w:rPr>
                <w:b/>
                <w:sz w:val="20"/>
                <w:szCs w:val="20"/>
              </w:rPr>
            </w:pPr>
            <w:r w:rsidRPr="0031074B">
              <w:rPr>
                <w:rFonts w:eastAsia="PMingLiU" w:cs="Times New Roman"/>
                <w:color w:val="000000"/>
                <w:sz w:val="20"/>
                <w:szCs w:val="20"/>
                <w:lang w:val="en-US" w:eastAsia="zh-TW"/>
              </w:rPr>
              <w:t>Accessing necessary informa</w:t>
            </w:r>
            <w:r w:rsidRPr="00C7032E">
              <w:rPr>
                <w:rFonts w:eastAsia="PMingLiU" w:cs="Times New Roman"/>
                <w:color w:val="000000"/>
                <w:sz w:val="20"/>
                <w:szCs w:val="20"/>
                <w:lang w:val="en-US" w:eastAsia="zh-TW"/>
              </w:rPr>
              <w:t>tion and identifying hazardous products involved in a given process, explosive properties of materials involved in a given process, and potential sources and charac</w:t>
            </w:r>
            <w:r w:rsidRPr="0031074B">
              <w:rPr>
                <w:rFonts w:eastAsia="PMingLiU" w:cs="Times New Roman"/>
                <w:color w:val="000000"/>
                <w:sz w:val="20"/>
                <w:szCs w:val="20"/>
                <w:lang w:val="en-US" w:eastAsia="zh-TW"/>
              </w:rPr>
              <w:t>t</w:t>
            </w:r>
            <w:r w:rsidRPr="00C7032E">
              <w:rPr>
                <w:rFonts w:eastAsia="PMingLiU" w:cs="Times New Roman"/>
                <w:color w:val="000000"/>
                <w:sz w:val="20"/>
                <w:szCs w:val="20"/>
                <w:lang w:val="en-US" w:eastAsia="zh-TW"/>
              </w:rPr>
              <w:t>eristics of release of hazardous products</w:t>
            </w:r>
          </w:p>
        </w:tc>
      </w:tr>
      <w:tr w:rsidR="0031074B" w:rsidRPr="0031074B" w:rsidTr="0031074B">
        <w:tc>
          <w:tcPr>
            <w:tcW w:w="562" w:type="dxa"/>
            <w:vMerge/>
          </w:tcPr>
          <w:p w:rsidR="0031074B" w:rsidRPr="0031074B" w:rsidRDefault="0031074B">
            <w:pPr>
              <w:rPr>
                <w:b/>
                <w:sz w:val="20"/>
                <w:szCs w:val="20"/>
              </w:rPr>
            </w:pPr>
          </w:p>
        </w:tc>
        <w:tc>
          <w:tcPr>
            <w:tcW w:w="1843" w:type="dxa"/>
            <w:vMerge/>
          </w:tcPr>
          <w:p w:rsidR="0031074B" w:rsidRPr="0031074B" w:rsidRDefault="0031074B">
            <w:pPr>
              <w:rPr>
                <w:sz w:val="20"/>
                <w:szCs w:val="20"/>
              </w:rPr>
            </w:pPr>
          </w:p>
        </w:tc>
        <w:tc>
          <w:tcPr>
            <w:tcW w:w="709" w:type="dxa"/>
          </w:tcPr>
          <w:p w:rsidR="0031074B" w:rsidRPr="0031074B" w:rsidRDefault="0031074B">
            <w:pPr>
              <w:rPr>
                <w:sz w:val="20"/>
                <w:szCs w:val="20"/>
              </w:rPr>
            </w:pPr>
            <w:r w:rsidRPr="0031074B">
              <w:rPr>
                <w:rFonts w:hint="eastAsia"/>
                <w:sz w:val="20"/>
                <w:szCs w:val="20"/>
              </w:rPr>
              <w:t>2.1.2</w:t>
            </w:r>
          </w:p>
        </w:tc>
        <w:tc>
          <w:tcPr>
            <w:tcW w:w="2693" w:type="dxa"/>
          </w:tcPr>
          <w:p w:rsidR="004B2FF1" w:rsidRPr="0031074B" w:rsidRDefault="0031074B" w:rsidP="004B2FF1">
            <w:pPr>
              <w:rPr>
                <w:b/>
                <w:sz w:val="20"/>
                <w:szCs w:val="20"/>
              </w:rPr>
            </w:pPr>
            <w:r w:rsidRPr="00C7032E">
              <w:rPr>
                <w:rFonts w:eastAsia="PMingLiU" w:cs="Times New Roman"/>
                <w:color w:val="000000"/>
                <w:sz w:val="20"/>
                <w:szCs w:val="20"/>
                <w:lang w:val="en-US" w:eastAsia="zh-TW"/>
              </w:rPr>
              <w:t>Explosion and physical properties of hazardous mate</w:t>
            </w:r>
            <w:r w:rsidRPr="0031074B">
              <w:rPr>
                <w:rFonts w:eastAsia="PMingLiU" w:cs="Times New Roman"/>
                <w:color w:val="000000"/>
                <w:sz w:val="20"/>
                <w:szCs w:val="20"/>
                <w:lang w:val="en-US" w:eastAsia="zh-TW"/>
              </w:rPr>
              <w:t>rials are listed, together with</w:t>
            </w:r>
            <w:r w:rsidRPr="00C7032E">
              <w:rPr>
                <w:rFonts w:eastAsia="PMingLiU" w:cs="Times New Roman"/>
                <w:color w:val="000000"/>
                <w:sz w:val="20"/>
                <w:szCs w:val="20"/>
                <w:lang w:val="en-US" w:eastAsia="zh-TW"/>
              </w:rPr>
              <w:t xml:space="preserve"> the title of the authority from which the data is obtained</w:t>
            </w:r>
          </w:p>
        </w:tc>
        <w:tc>
          <w:tcPr>
            <w:tcW w:w="3209" w:type="dxa"/>
          </w:tcPr>
          <w:p w:rsidR="0031074B" w:rsidRPr="0031074B" w:rsidRDefault="0031074B">
            <w:pPr>
              <w:rPr>
                <w:b/>
                <w:sz w:val="20"/>
                <w:szCs w:val="20"/>
              </w:rPr>
            </w:pPr>
          </w:p>
        </w:tc>
      </w:tr>
      <w:tr w:rsidR="0031074B" w:rsidRPr="0031074B" w:rsidTr="0031074B">
        <w:tc>
          <w:tcPr>
            <w:tcW w:w="562" w:type="dxa"/>
            <w:vMerge/>
          </w:tcPr>
          <w:p w:rsidR="0031074B" w:rsidRPr="0031074B" w:rsidRDefault="0031074B">
            <w:pPr>
              <w:rPr>
                <w:b/>
                <w:sz w:val="20"/>
                <w:szCs w:val="20"/>
              </w:rPr>
            </w:pPr>
          </w:p>
        </w:tc>
        <w:tc>
          <w:tcPr>
            <w:tcW w:w="1843" w:type="dxa"/>
            <w:vMerge/>
          </w:tcPr>
          <w:p w:rsidR="0031074B" w:rsidRPr="0031074B" w:rsidRDefault="0031074B">
            <w:pPr>
              <w:rPr>
                <w:sz w:val="20"/>
                <w:szCs w:val="20"/>
              </w:rPr>
            </w:pPr>
          </w:p>
        </w:tc>
        <w:tc>
          <w:tcPr>
            <w:tcW w:w="709" w:type="dxa"/>
          </w:tcPr>
          <w:p w:rsidR="0031074B" w:rsidRPr="0031074B" w:rsidRDefault="0031074B">
            <w:pPr>
              <w:rPr>
                <w:sz w:val="20"/>
                <w:szCs w:val="20"/>
              </w:rPr>
            </w:pPr>
            <w:r w:rsidRPr="0031074B">
              <w:rPr>
                <w:rFonts w:hint="eastAsia"/>
                <w:sz w:val="20"/>
                <w:szCs w:val="20"/>
              </w:rPr>
              <w:t>2.1.3</w:t>
            </w:r>
          </w:p>
        </w:tc>
        <w:tc>
          <w:tcPr>
            <w:tcW w:w="2693" w:type="dxa"/>
          </w:tcPr>
          <w:p w:rsidR="004B2FF1" w:rsidRPr="0031074B" w:rsidRDefault="0031074B" w:rsidP="004B2FF1">
            <w:pP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Gas groupings and temperature class of flam</w:t>
            </w:r>
            <w:r w:rsidRPr="0031074B">
              <w:rPr>
                <w:rFonts w:eastAsia="PMingLiU" w:cs="Times New Roman"/>
                <w:color w:val="000000"/>
                <w:sz w:val="20"/>
                <w:szCs w:val="20"/>
                <w:lang w:val="en-US" w:eastAsia="zh-TW"/>
              </w:rPr>
              <w:t>m</w:t>
            </w:r>
            <w:r w:rsidRPr="00C7032E">
              <w:rPr>
                <w:rFonts w:eastAsia="PMingLiU" w:cs="Times New Roman"/>
                <w:color w:val="000000"/>
                <w:sz w:val="20"/>
                <w:szCs w:val="20"/>
                <w:lang w:val="en-US" w:eastAsia="zh-TW"/>
              </w:rPr>
              <w:t>able gases, vapours and/or dusts that may be present in the area are established from collected data</w:t>
            </w:r>
          </w:p>
        </w:tc>
        <w:tc>
          <w:tcPr>
            <w:tcW w:w="3209" w:type="dxa"/>
          </w:tcPr>
          <w:p w:rsidR="0031074B" w:rsidRPr="0031074B" w:rsidRDefault="0031074B">
            <w:pPr>
              <w:rPr>
                <w:b/>
                <w:sz w:val="20"/>
                <w:szCs w:val="20"/>
              </w:rPr>
            </w:pPr>
          </w:p>
        </w:tc>
      </w:tr>
      <w:tr w:rsidR="0031074B" w:rsidRPr="0031074B" w:rsidTr="0031074B">
        <w:tc>
          <w:tcPr>
            <w:tcW w:w="562" w:type="dxa"/>
            <w:vMerge/>
          </w:tcPr>
          <w:p w:rsidR="0031074B" w:rsidRPr="0031074B" w:rsidRDefault="0031074B">
            <w:pPr>
              <w:rPr>
                <w:b/>
                <w:sz w:val="20"/>
                <w:szCs w:val="20"/>
              </w:rPr>
            </w:pPr>
          </w:p>
        </w:tc>
        <w:tc>
          <w:tcPr>
            <w:tcW w:w="1843" w:type="dxa"/>
            <w:vMerge/>
          </w:tcPr>
          <w:p w:rsidR="0031074B" w:rsidRPr="0031074B" w:rsidRDefault="0031074B">
            <w:pPr>
              <w:rPr>
                <w:sz w:val="20"/>
                <w:szCs w:val="20"/>
              </w:rPr>
            </w:pPr>
          </w:p>
        </w:tc>
        <w:tc>
          <w:tcPr>
            <w:tcW w:w="709" w:type="dxa"/>
          </w:tcPr>
          <w:p w:rsidR="0031074B" w:rsidRPr="0031074B" w:rsidRDefault="0031074B">
            <w:pPr>
              <w:rPr>
                <w:sz w:val="20"/>
                <w:szCs w:val="20"/>
              </w:rPr>
            </w:pPr>
            <w:r w:rsidRPr="0031074B">
              <w:rPr>
                <w:rFonts w:hint="eastAsia"/>
                <w:sz w:val="20"/>
                <w:szCs w:val="20"/>
              </w:rPr>
              <w:t>2.</w:t>
            </w:r>
            <w:r w:rsidRPr="0031074B">
              <w:rPr>
                <w:sz w:val="20"/>
                <w:szCs w:val="20"/>
              </w:rPr>
              <w:t>1.4</w:t>
            </w:r>
          </w:p>
        </w:tc>
        <w:tc>
          <w:tcPr>
            <w:tcW w:w="2693" w:type="dxa"/>
          </w:tcPr>
          <w:p w:rsidR="004B2FF1" w:rsidRPr="0031074B" w:rsidRDefault="0031074B" w:rsidP="004B2FF1">
            <w:pP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Potential sources of release and/or dust layering are identified from specificat</w:t>
            </w:r>
            <w:r w:rsidRPr="0031074B">
              <w:rPr>
                <w:rFonts w:eastAsia="PMingLiU" w:cs="Times New Roman"/>
                <w:color w:val="000000"/>
                <w:sz w:val="20"/>
                <w:szCs w:val="20"/>
                <w:lang w:val="en-US" w:eastAsia="zh-TW"/>
              </w:rPr>
              <w:t>i</w:t>
            </w:r>
            <w:r w:rsidRPr="00C7032E">
              <w:rPr>
                <w:rFonts w:eastAsia="PMingLiU" w:cs="Times New Roman"/>
                <w:color w:val="000000"/>
                <w:sz w:val="20"/>
                <w:szCs w:val="20"/>
                <w:lang w:val="en-US" w:eastAsia="zh-TW"/>
              </w:rPr>
              <w:t>ons and diagrams and reviewed with process specialist personnel</w:t>
            </w:r>
          </w:p>
        </w:tc>
        <w:tc>
          <w:tcPr>
            <w:tcW w:w="3209" w:type="dxa"/>
          </w:tcPr>
          <w:p w:rsidR="0031074B" w:rsidRPr="0031074B" w:rsidRDefault="0031074B">
            <w:pPr>
              <w:rPr>
                <w:b/>
                <w:sz w:val="20"/>
                <w:szCs w:val="20"/>
              </w:rPr>
            </w:pPr>
            <w:r w:rsidRPr="00C7032E">
              <w:rPr>
                <w:rFonts w:eastAsia="PMingLiU" w:cs="Times New Roman"/>
                <w:color w:val="000000"/>
                <w:sz w:val="20"/>
                <w:szCs w:val="20"/>
                <w:lang w:val="en-US" w:eastAsia="zh-TW"/>
              </w:rPr>
              <w:t>Analysing data in the conte</w:t>
            </w:r>
            <w:r w:rsidRPr="0031074B">
              <w:rPr>
                <w:rFonts w:eastAsia="PMingLiU" w:cs="Times New Roman"/>
                <w:color w:val="000000"/>
                <w:sz w:val="20"/>
                <w:szCs w:val="20"/>
                <w:lang w:val="en-US" w:eastAsia="zh-TW"/>
              </w:rPr>
              <w:t>x</w:t>
            </w:r>
            <w:r w:rsidRPr="00C7032E">
              <w:rPr>
                <w:rFonts w:eastAsia="PMingLiU" w:cs="Times New Roman"/>
                <w:color w:val="000000"/>
                <w:sz w:val="20"/>
                <w:szCs w:val="20"/>
                <w:lang w:val="en-US" w:eastAsia="zh-TW"/>
              </w:rPr>
              <w:t>t of explosion risk</w:t>
            </w:r>
          </w:p>
        </w:tc>
      </w:tr>
      <w:tr w:rsidR="008B06FC" w:rsidRPr="0031074B" w:rsidTr="0031074B">
        <w:tc>
          <w:tcPr>
            <w:tcW w:w="562" w:type="dxa"/>
            <w:vMerge w:val="restart"/>
          </w:tcPr>
          <w:p w:rsidR="008B06FC" w:rsidRPr="0031074B" w:rsidRDefault="008B06FC">
            <w:pPr>
              <w:rPr>
                <w:sz w:val="20"/>
                <w:szCs w:val="20"/>
              </w:rPr>
            </w:pPr>
            <w:r w:rsidRPr="0031074B">
              <w:rPr>
                <w:rFonts w:hint="eastAsia"/>
                <w:sz w:val="20"/>
                <w:szCs w:val="20"/>
              </w:rPr>
              <w:t>2.2</w:t>
            </w:r>
          </w:p>
        </w:tc>
        <w:tc>
          <w:tcPr>
            <w:tcW w:w="1843" w:type="dxa"/>
            <w:vMerge w:val="restart"/>
          </w:tcPr>
          <w:p w:rsidR="008B06FC" w:rsidRPr="0031074B" w:rsidRDefault="008B06FC">
            <w:pPr>
              <w:rPr>
                <w:sz w:val="20"/>
                <w:szCs w:val="20"/>
              </w:rPr>
            </w:pPr>
            <w:r>
              <w:rPr>
                <w:rFonts w:hint="eastAsia"/>
                <w:sz w:val="20"/>
                <w:szCs w:val="20"/>
              </w:rPr>
              <w:t>Establish the type and extent of zones</w:t>
            </w:r>
          </w:p>
        </w:tc>
        <w:tc>
          <w:tcPr>
            <w:tcW w:w="709" w:type="dxa"/>
          </w:tcPr>
          <w:p w:rsidR="008B06FC" w:rsidRPr="0031074B" w:rsidRDefault="008B06FC">
            <w:pPr>
              <w:rPr>
                <w:sz w:val="20"/>
                <w:szCs w:val="20"/>
              </w:rPr>
            </w:pPr>
            <w:r>
              <w:rPr>
                <w:sz w:val="20"/>
                <w:szCs w:val="20"/>
              </w:rPr>
              <w:t>2.2.1</w:t>
            </w:r>
          </w:p>
        </w:tc>
        <w:tc>
          <w:tcPr>
            <w:tcW w:w="2693" w:type="dxa"/>
          </w:tcPr>
          <w:p w:rsidR="004B2FF1" w:rsidRDefault="008B06FC" w:rsidP="007E6606">
            <w:pP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Zones are determined by similarity to examples in Standards or from first principles</w:t>
            </w:r>
          </w:p>
          <w:p w:rsidR="007E6606" w:rsidRPr="0031074B" w:rsidRDefault="007E6606" w:rsidP="007E6606">
            <w:pPr>
              <w:rPr>
                <w:rFonts w:eastAsia="PMingLiU" w:cs="Times New Roman"/>
                <w:color w:val="000000"/>
                <w:sz w:val="20"/>
                <w:szCs w:val="20"/>
                <w:lang w:val="en-US" w:eastAsia="zh-TW"/>
              </w:rPr>
            </w:pPr>
          </w:p>
        </w:tc>
        <w:tc>
          <w:tcPr>
            <w:tcW w:w="3209" w:type="dxa"/>
          </w:tcPr>
          <w:p w:rsidR="008B06FC" w:rsidRPr="0031074B" w:rsidRDefault="008B06FC">
            <w:pP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Determining area delineation and documenting area classifications</w:t>
            </w:r>
          </w:p>
        </w:tc>
      </w:tr>
      <w:tr w:rsidR="008B06FC" w:rsidRPr="0031074B" w:rsidTr="0031074B">
        <w:tc>
          <w:tcPr>
            <w:tcW w:w="562" w:type="dxa"/>
            <w:vMerge/>
          </w:tcPr>
          <w:p w:rsidR="008B06FC" w:rsidRPr="0031074B" w:rsidRDefault="008B06FC">
            <w:pPr>
              <w:rPr>
                <w:sz w:val="20"/>
                <w:szCs w:val="20"/>
              </w:rPr>
            </w:pPr>
          </w:p>
        </w:tc>
        <w:tc>
          <w:tcPr>
            <w:tcW w:w="1843" w:type="dxa"/>
            <w:vMerge/>
          </w:tcPr>
          <w:p w:rsidR="008B06FC" w:rsidRDefault="008B06FC">
            <w:pPr>
              <w:rPr>
                <w:sz w:val="20"/>
                <w:szCs w:val="20"/>
              </w:rPr>
            </w:pPr>
          </w:p>
        </w:tc>
        <w:tc>
          <w:tcPr>
            <w:tcW w:w="709" w:type="dxa"/>
          </w:tcPr>
          <w:p w:rsidR="008B06FC" w:rsidRDefault="008B06FC">
            <w:pPr>
              <w:rPr>
                <w:sz w:val="20"/>
                <w:szCs w:val="20"/>
              </w:rPr>
            </w:pPr>
            <w:r>
              <w:rPr>
                <w:rFonts w:hint="eastAsia"/>
                <w:sz w:val="20"/>
                <w:szCs w:val="20"/>
              </w:rPr>
              <w:t>2.2.2</w:t>
            </w:r>
          </w:p>
        </w:tc>
        <w:tc>
          <w:tcPr>
            <w:tcW w:w="2693" w:type="dxa"/>
          </w:tcPr>
          <w:p w:rsidR="008B06FC" w:rsidRPr="0031074B" w:rsidRDefault="008B06FC">
            <w:pP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Where first principles are used, grades, sources and magnitude of release and dust layering are established from specifications and diagrams and reviewed with process specialist personne</w:t>
            </w:r>
            <w:r w:rsidRPr="0031074B">
              <w:rPr>
                <w:rFonts w:eastAsia="PMingLiU" w:cs="Times New Roman"/>
                <w:color w:val="000000"/>
                <w:sz w:val="20"/>
                <w:szCs w:val="20"/>
                <w:lang w:val="en-US" w:eastAsia="zh-TW"/>
              </w:rPr>
              <w:t>l</w:t>
            </w:r>
          </w:p>
        </w:tc>
        <w:tc>
          <w:tcPr>
            <w:tcW w:w="3209" w:type="dxa"/>
          </w:tcPr>
          <w:p w:rsidR="008B06FC" w:rsidRPr="00C7032E" w:rsidRDefault="008B06FC">
            <w:pPr>
              <w:rPr>
                <w:rFonts w:eastAsia="PMingLiU" w:cs="Times New Roman"/>
                <w:color w:val="000000"/>
                <w:sz w:val="20"/>
                <w:szCs w:val="20"/>
                <w:lang w:val="en-US" w:eastAsia="zh-TW"/>
              </w:rPr>
            </w:pPr>
          </w:p>
        </w:tc>
      </w:tr>
      <w:tr w:rsidR="00DB0F6C" w:rsidRPr="0031074B" w:rsidTr="0031074B">
        <w:tc>
          <w:tcPr>
            <w:tcW w:w="562" w:type="dxa"/>
            <w:vMerge w:val="restart"/>
          </w:tcPr>
          <w:p w:rsidR="00DB0F6C" w:rsidRPr="0031074B" w:rsidRDefault="00DB0F6C">
            <w:pPr>
              <w:rPr>
                <w:sz w:val="20"/>
                <w:szCs w:val="20"/>
              </w:rPr>
            </w:pPr>
            <w:r>
              <w:rPr>
                <w:rFonts w:hint="eastAsia"/>
                <w:sz w:val="20"/>
                <w:szCs w:val="20"/>
              </w:rPr>
              <w:t>2.3</w:t>
            </w:r>
          </w:p>
        </w:tc>
        <w:tc>
          <w:tcPr>
            <w:tcW w:w="1843" w:type="dxa"/>
            <w:vMerge w:val="restart"/>
          </w:tcPr>
          <w:p w:rsidR="00DB0F6C" w:rsidRPr="008B06FC" w:rsidRDefault="00DB0F6C">
            <w:pPr>
              <w:rPr>
                <w:sz w:val="20"/>
                <w:szCs w:val="20"/>
              </w:rPr>
            </w:pPr>
            <w:r w:rsidRPr="00C7032E">
              <w:rPr>
                <w:rFonts w:eastAsia="PMingLiU" w:cs="Times New Roman"/>
                <w:color w:val="000000"/>
                <w:sz w:val="20"/>
                <w:szCs w:val="20"/>
                <w:lang w:val="en-US" w:eastAsia="zh-TW"/>
              </w:rPr>
              <w:t>Document classification and delineation of zones</w:t>
            </w:r>
          </w:p>
        </w:tc>
        <w:tc>
          <w:tcPr>
            <w:tcW w:w="709" w:type="dxa"/>
          </w:tcPr>
          <w:p w:rsidR="00DB0F6C" w:rsidRDefault="00DB0F6C">
            <w:pPr>
              <w:rPr>
                <w:sz w:val="20"/>
                <w:szCs w:val="20"/>
              </w:rPr>
            </w:pPr>
            <w:r>
              <w:rPr>
                <w:rFonts w:hint="eastAsia"/>
                <w:sz w:val="20"/>
                <w:szCs w:val="20"/>
              </w:rPr>
              <w:t>2.3.1</w:t>
            </w:r>
          </w:p>
        </w:tc>
        <w:tc>
          <w:tcPr>
            <w:tcW w:w="2693" w:type="dxa"/>
          </w:tcPr>
          <w:p w:rsidR="00DB0F6C" w:rsidRPr="008B06FC" w:rsidRDefault="00DB0F6C">
            <w:pP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Area classification documentation is completed in accordance with requirements and submitted to appropriate personnel</w:t>
            </w:r>
          </w:p>
        </w:tc>
        <w:tc>
          <w:tcPr>
            <w:tcW w:w="3209" w:type="dxa"/>
          </w:tcPr>
          <w:p w:rsidR="00DB0F6C" w:rsidRPr="00C7032E" w:rsidRDefault="00DB0F6C">
            <w:pPr>
              <w:rPr>
                <w:rFonts w:eastAsia="PMingLiU" w:cs="Times New Roman"/>
                <w:color w:val="000000"/>
                <w:sz w:val="20"/>
                <w:szCs w:val="20"/>
                <w:lang w:val="en-US" w:eastAsia="zh-TW"/>
              </w:rPr>
            </w:pPr>
          </w:p>
        </w:tc>
      </w:tr>
      <w:tr w:rsidR="00DB0F6C" w:rsidRPr="0031074B" w:rsidTr="0031074B">
        <w:tc>
          <w:tcPr>
            <w:tcW w:w="562" w:type="dxa"/>
            <w:vMerge/>
          </w:tcPr>
          <w:p w:rsidR="00DB0F6C" w:rsidRDefault="00DB0F6C">
            <w:pPr>
              <w:rPr>
                <w:sz w:val="20"/>
                <w:szCs w:val="20"/>
              </w:rPr>
            </w:pPr>
          </w:p>
        </w:tc>
        <w:tc>
          <w:tcPr>
            <w:tcW w:w="1843" w:type="dxa"/>
            <w:vMerge/>
          </w:tcPr>
          <w:p w:rsidR="00DB0F6C" w:rsidRPr="00C7032E" w:rsidRDefault="00DB0F6C">
            <w:pPr>
              <w:rPr>
                <w:rFonts w:eastAsia="PMingLiU" w:cs="Times New Roman"/>
                <w:color w:val="000000"/>
                <w:sz w:val="20"/>
                <w:szCs w:val="20"/>
                <w:lang w:val="en-US" w:eastAsia="zh-TW"/>
              </w:rPr>
            </w:pPr>
          </w:p>
        </w:tc>
        <w:tc>
          <w:tcPr>
            <w:tcW w:w="709" w:type="dxa"/>
          </w:tcPr>
          <w:p w:rsidR="00DB0F6C" w:rsidRDefault="00DB0F6C">
            <w:pPr>
              <w:rPr>
                <w:sz w:val="20"/>
                <w:szCs w:val="20"/>
              </w:rPr>
            </w:pPr>
            <w:r>
              <w:rPr>
                <w:rFonts w:hint="eastAsia"/>
                <w:sz w:val="20"/>
                <w:szCs w:val="20"/>
              </w:rPr>
              <w:t>2.3.2</w:t>
            </w:r>
          </w:p>
        </w:tc>
        <w:tc>
          <w:tcPr>
            <w:tcW w:w="2693" w:type="dxa"/>
          </w:tcPr>
          <w:p w:rsidR="00DB0F6C" w:rsidRPr="00C7032E" w:rsidRDefault="00DB0F6C">
            <w:pPr>
              <w:rPr>
                <w:rFonts w:eastAsia="PMingLiU" w:cs="Times New Roman"/>
                <w:color w:val="000000"/>
                <w:sz w:val="20"/>
                <w:szCs w:val="20"/>
                <w:lang w:val="en-US" w:eastAsia="zh-TW"/>
              </w:rPr>
            </w:pPr>
            <w:r w:rsidRPr="00C7032E">
              <w:rPr>
                <w:rFonts w:eastAsia="PMingLiU" w:cs="Times New Roman"/>
                <w:color w:val="000000"/>
                <w:lang w:val="en-US" w:eastAsia="zh-TW"/>
              </w:rPr>
              <w:t>C</w:t>
            </w:r>
            <w:r w:rsidRPr="00C7032E">
              <w:rPr>
                <w:rFonts w:eastAsia="PMingLiU" w:cs="Times New Roman"/>
                <w:color w:val="000000"/>
                <w:sz w:val="20"/>
                <w:szCs w:val="20"/>
                <w:lang w:val="en-US" w:eastAsia="zh-TW"/>
              </w:rPr>
              <w:t>lassification documentation records are filed for future reference and for incorporation in the verification dossier</w:t>
            </w:r>
          </w:p>
        </w:tc>
        <w:tc>
          <w:tcPr>
            <w:tcW w:w="3209" w:type="dxa"/>
          </w:tcPr>
          <w:p w:rsidR="00DB0F6C" w:rsidRPr="00C7032E" w:rsidRDefault="00DB0F6C">
            <w:pPr>
              <w:rPr>
                <w:rFonts w:eastAsia="PMingLiU" w:cs="Times New Roman"/>
                <w:color w:val="000000"/>
                <w:sz w:val="20"/>
                <w:szCs w:val="20"/>
                <w:lang w:val="en-US" w:eastAsia="zh-TW"/>
              </w:rPr>
            </w:pPr>
          </w:p>
        </w:tc>
      </w:tr>
    </w:tbl>
    <w:p w:rsidR="004B2FF1" w:rsidRPr="004B2FF1" w:rsidRDefault="004B2FF1" w:rsidP="007C0413">
      <w:pPr>
        <w:rPr>
          <w:b/>
          <w:sz w:val="16"/>
          <w:szCs w:val="16"/>
        </w:rPr>
      </w:pPr>
    </w:p>
    <w:p w:rsidR="007C0413" w:rsidRPr="0031074B" w:rsidRDefault="007C0413" w:rsidP="007C0413">
      <w:pPr>
        <w:rPr>
          <w:b/>
          <w:sz w:val="20"/>
          <w:szCs w:val="20"/>
        </w:rPr>
      </w:pPr>
      <w:r>
        <w:rPr>
          <w:b/>
          <w:sz w:val="20"/>
          <w:szCs w:val="20"/>
        </w:rPr>
        <w:t xml:space="preserve">4.4.3.2 </w:t>
      </w:r>
      <w:r>
        <w:rPr>
          <w:b/>
          <w:sz w:val="20"/>
          <w:szCs w:val="20"/>
        </w:rPr>
        <w:tab/>
      </w:r>
      <w:r>
        <w:rPr>
          <w:b/>
          <w:sz w:val="20"/>
          <w:szCs w:val="20"/>
        </w:rPr>
        <w:tab/>
        <w:t>Criteria for a responsible person</w:t>
      </w:r>
    </w:p>
    <w:tbl>
      <w:tblPr>
        <w:tblStyle w:val="TableGrid"/>
        <w:tblW w:w="0" w:type="auto"/>
        <w:tblLook w:val="04A0" w:firstRow="1" w:lastRow="0" w:firstColumn="1" w:lastColumn="0" w:noHBand="0" w:noVBand="1"/>
      </w:tblPr>
      <w:tblGrid>
        <w:gridCol w:w="562"/>
        <w:gridCol w:w="1843"/>
        <w:gridCol w:w="709"/>
        <w:gridCol w:w="2693"/>
        <w:gridCol w:w="3209"/>
      </w:tblGrid>
      <w:tr w:rsidR="00A1065B" w:rsidRPr="00C7032E" w:rsidTr="00F940BE">
        <w:tc>
          <w:tcPr>
            <w:tcW w:w="2405" w:type="dxa"/>
            <w:gridSpan w:val="2"/>
            <w:vAlign w:val="center"/>
          </w:tcPr>
          <w:p w:rsidR="00A1065B" w:rsidRPr="00C7032E" w:rsidRDefault="00A1065B" w:rsidP="00F940BE">
            <w:pPr>
              <w:jc w:val="center"/>
              <w:rPr>
                <w:rFonts w:eastAsia="PMingLiU" w:cs="Times New Roman"/>
                <w:b/>
                <w:color w:val="000000"/>
                <w:sz w:val="20"/>
                <w:szCs w:val="20"/>
                <w:lang w:val="en-US" w:eastAsia="zh-TW"/>
              </w:rPr>
            </w:pPr>
            <w:r w:rsidRPr="00C7032E">
              <w:rPr>
                <w:rFonts w:eastAsia="PMingLiU" w:cs="Times New Roman"/>
                <w:b/>
                <w:color w:val="000000"/>
                <w:sz w:val="20"/>
                <w:szCs w:val="20"/>
                <w:lang w:val="en-US" w:eastAsia="zh-TW"/>
              </w:rPr>
              <w:t>Elements</w:t>
            </w:r>
          </w:p>
        </w:tc>
        <w:tc>
          <w:tcPr>
            <w:tcW w:w="3402" w:type="dxa"/>
            <w:gridSpan w:val="2"/>
            <w:vAlign w:val="center"/>
          </w:tcPr>
          <w:p w:rsidR="00A1065B" w:rsidRPr="00C7032E" w:rsidRDefault="00A1065B" w:rsidP="00F940BE">
            <w:pPr>
              <w:jc w:val="cente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Performance criteria</w:t>
            </w:r>
          </w:p>
        </w:tc>
        <w:tc>
          <w:tcPr>
            <w:tcW w:w="3209" w:type="dxa"/>
            <w:vAlign w:val="center"/>
          </w:tcPr>
          <w:p w:rsidR="00A1065B" w:rsidRPr="00C7032E" w:rsidRDefault="00A1065B" w:rsidP="00F940BE">
            <w:pPr>
              <w:jc w:val="center"/>
              <w:rPr>
                <w:rFonts w:eastAsia="PMingLiU" w:cs="Times New Roman"/>
                <w:color w:val="000000"/>
                <w:sz w:val="20"/>
                <w:szCs w:val="20"/>
                <w:lang w:val="en-US" w:eastAsia="zh-TW"/>
              </w:rPr>
            </w:pPr>
            <w:r w:rsidRPr="00C7032E">
              <w:rPr>
                <w:rFonts w:eastAsia="PMingLiU" w:cs="Times New Roman"/>
                <w:color w:val="000000"/>
                <w:sz w:val="20"/>
                <w:szCs w:val="20"/>
                <w:lang w:val="en-US" w:eastAsia="zh-TW"/>
              </w:rPr>
              <w:t>Critical aspects of evidence</w:t>
            </w:r>
          </w:p>
        </w:tc>
      </w:tr>
      <w:tr w:rsidR="00E43FB3" w:rsidRPr="0031074B" w:rsidTr="00F940BE">
        <w:tc>
          <w:tcPr>
            <w:tcW w:w="562" w:type="dxa"/>
            <w:vMerge w:val="restart"/>
          </w:tcPr>
          <w:p w:rsidR="00E43FB3" w:rsidRDefault="00E43FB3" w:rsidP="00F940BE">
            <w:pPr>
              <w:rPr>
                <w:sz w:val="20"/>
                <w:szCs w:val="20"/>
              </w:rPr>
            </w:pPr>
            <w:r>
              <w:rPr>
                <w:sz w:val="20"/>
                <w:szCs w:val="20"/>
              </w:rPr>
              <w:t>2.4</w:t>
            </w:r>
          </w:p>
          <w:p w:rsidR="00E43FB3" w:rsidRDefault="00E43FB3" w:rsidP="00F940BE">
            <w:pPr>
              <w:rPr>
                <w:sz w:val="20"/>
                <w:szCs w:val="20"/>
              </w:rPr>
            </w:pPr>
          </w:p>
          <w:p w:rsidR="00E43FB3" w:rsidRDefault="00E43FB3" w:rsidP="00F940BE">
            <w:pPr>
              <w:rPr>
                <w:sz w:val="20"/>
                <w:szCs w:val="20"/>
              </w:rPr>
            </w:pPr>
          </w:p>
          <w:p w:rsidR="00E43FB3" w:rsidRPr="0031074B" w:rsidRDefault="00E43FB3" w:rsidP="00F940BE">
            <w:pPr>
              <w:rPr>
                <w:sz w:val="20"/>
                <w:szCs w:val="20"/>
              </w:rPr>
            </w:pPr>
          </w:p>
        </w:tc>
        <w:tc>
          <w:tcPr>
            <w:tcW w:w="1843" w:type="dxa"/>
            <w:vMerge w:val="restart"/>
          </w:tcPr>
          <w:p w:rsidR="00E43FB3" w:rsidRPr="0031074B" w:rsidRDefault="00E43FB3" w:rsidP="00F940BE">
            <w:pPr>
              <w:rPr>
                <w:sz w:val="20"/>
                <w:szCs w:val="20"/>
              </w:rPr>
            </w:pPr>
            <w:r w:rsidRPr="00405BB9">
              <w:rPr>
                <w:sz w:val="20"/>
                <w:szCs w:val="20"/>
              </w:rPr>
              <w:t>Prepare for area classification</w:t>
            </w:r>
          </w:p>
        </w:tc>
        <w:tc>
          <w:tcPr>
            <w:tcW w:w="709" w:type="dxa"/>
          </w:tcPr>
          <w:p w:rsidR="00E43FB3" w:rsidRPr="0031074B" w:rsidRDefault="00E43FB3" w:rsidP="00F940BE">
            <w:pPr>
              <w:rPr>
                <w:sz w:val="20"/>
                <w:szCs w:val="20"/>
              </w:rPr>
            </w:pPr>
            <w:r>
              <w:rPr>
                <w:rFonts w:hint="eastAsia"/>
                <w:sz w:val="20"/>
                <w:szCs w:val="20"/>
              </w:rPr>
              <w:t>2.4.1</w:t>
            </w:r>
          </w:p>
        </w:tc>
        <w:tc>
          <w:tcPr>
            <w:tcW w:w="2693" w:type="dxa"/>
          </w:tcPr>
          <w:p w:rsidR="00E43FB3" w:rsidRPr="00405BB9" w:rsidRDefault="00E43FB3" w:rsidP="00F940BE">
            <w:pPr>
              <w:rPr>
                <w:sz w:val="20"/>
                <w:szCs w:val="20"/>
              </w:rPr>
            </w:pPr>
            <w:r w:rsidRPr="00405BB9">
              <w:rPr>
                <w:sz w:val="20"/>
                <w:szCs w:val="20"/>
              </w:rPr>
              <w:t>Arrangement are made in accordance with the requirements for an area classification to be carried out</w:t>
            </w:r>
          </w:p>
        </w:tc>
        <w:tc>
          <w:tcPr>
            <w:tcW w:w="3209" w:type="dxa"/>
          </w:tcPr>
          <w:p w:rsidR="00E43FB3" w:rsidRPr="00405BB9" w:rsidRDefault="00E43FB3" w:rsidP="00F940BE">
            <w:pPr>
              <w:rPr>
                <w:sz w:val="20"/>
                <w:szCs w:val="20"/>
              </w:rPr>
            </w:pPr>
            <w:r w:rsidRPr="00405BB9">
              <w:rPr>
                <w:sz w:val="20"/>
                <w:szCs w:val="20"/>
              </w:rPr>
              <w:t>Legislative and company requirements have been followed</w:t>
            </w:r>
          </w:p>
        </w:tc>
      </w:tr>
      <w:tr w:rsidR="00E43FB3" w:rsidRPr="0031074B" w:rsidTr="00F940BE">
        <w:tc>
          <w:tcPr>
            <w:tcW w:w="562" w:type="dxa"/>
            <w:vMerge/>
          </w:tcPr>
          <w:p w:rsidR="00E43FB3" w:rsidRPr="0031074B" w:rsidRDefault="00E43FB3" w:rsidP="00F940BE">
            <w:pPr>
              <w:rPr>
                <w:b/>
                <w:sz w:val="20"/>
                <w:szCs w:val="20"/>
              </w:rPr>
            </w:pPr>
          </w:p>
        </w:tc>
        <w:tc>
          <w:tcPr>
            <w:tcW w:w="1843" w:type="dxa"/>
            <w:vMerge/>
          </w:tcPr>
          <w:p w:rsidR="00E43FB3" w:rsidRPr="0031074B" w:rsidRDefault="00E43FB3" w:rsidP="00F940BE">
            <w:pPr>
              <w:rPr>
                <w:sz w:val="20"/>
                <w:szCs w:val="20"/>
              </w:rPr>
            </w:pPr>
          </w:p>
        </w:tc>
        <w:tc>
          <w:tcPr>
            <w:tcW w:w="709" w:type="dxa"/>
          </w:tcPr>
          <w:p w:rsidR="00E43FB3" w:rsidRPr="0031074B" w:rsidRDefault="00E43FB3" w:rsidP="00F940BE">
            <w:pPr>
              <w:rPr>
                <w:sz w:val="20"/>
                <w:szCs w:val="20"/>
              </w:rPr>
            </w:pPr>
            <w:r>
              <w:rPr>
                <w:rFonts w:hint="eastAsia"/>
                <w:sz w:val="20"/>
                <w:szCs w:val="20"/>
              </w:rPr>
              <w:t>2.4.2</w:t>
            </w:r>
          </w:p>
        </w:tc>
        <w:tc>
          <w:tcPr>
            <w:tcW w:w="2693" w:type="dxa"/>
          </w:tcPr>
          <w:p w:rsidR="00E43FB3" w:rsidRPr="0031074B" w:rsidRDefault="00E43FB3" w:rsidP="00F940BE">
            <w:pPr>
              <w:rPr>
                <w:b/>
                <w:sz w:val="20"/>
                <w:szCs w:val="20"/>
              </w:rPr>
            </w:pPr>
            <w:r w:rsidRPr="00451CCF">
              <w:rPr>
                <w:rFonts w:eastAsia="PMingLiU" w:cs="Times New Roman"/>
                <w:color w:val="000000"/>
                <w:sz w:val="20"/>
                <w:szCs w:val="20"/>
                <w:lang w:val="en-US" w:eastAsia="zh-TW"/>
              </w:rPr>
              <w:t>Appropriate personnel are deployed</w:t>
            </w:r>
          </w:p>
        </w:tc>
        <w:tc>
          <w:tcPr>
            <w:tcW w:w="3209" w:type="dxa"/>
          </w:tcPr>
          <w:p w:rsidR="00E43FB3" w:rsidRPr="00451CCF" w:rsidRDefault="00E43FB3" w:rsidP="00F940BE">
            <w:pPr>
              <w:rPr>
                <w:sz w:val="20"/>
                <w:szCs w:val="20"/>
              </w:rPr>
            </w:pPr>
            <w:r w:rsidRPr="00451CCF">
              <w:rPr>
                <w:sz w:val="20"/>
                <w:szCs w:val="20"/>
              </w:rPr>
              <w:t>Knowledge and skills (Competence) of personnel</w:t>
            </w:r>
          </w:p>
        </w:tc>
      </w:tr>
      <w:tr w:rsidR="00E43FB3" w:rsidRPr="0031074B" w:rsidTr="00F940BE">
        <w:tc>
          <w:tcPr>
            <w:tcW w:w="562" w:type="dxa"/>
            <w:vMerge/>
          </w:tcPr>
          <w:p w:rsidR="00E43FB3" w:rsidRPr="0031074B" w:rsidRDefault="00E43FB3" w:rsidP="00F940BE">
            <w:pPr>
              <w:rPr>
                <w:b/>
                <w:sz w:val="20"/>
                <w:szCs w:val="20"/>
              </w:rPr>
            </w:pPr>
          </w:p>
        </w:tc>
        <w:tc>
          <w:tcPr>
            <w:tcW w:w="1843" w:type="dxa"/>
            <w:vMerge/>
          </w:tcPr>
          <w:p w:rsidR="00E43FB3" w:rsidRPr="0031074B" w:rsidRDefault="00E43FB3" w:rsidP="00F940BE">
            <w:pPr>
              <w:rPr>
                <w:sz w:val="20"/>
                <w:szCs w:val="20"/>
              </w:rPr>
            </w:pPr>
          </w:p>
        </w:tc>
        <w:tc>
          <w:tcPr>
            <w:tcW w:w="709" w:type="dxa"/>
          </w:tcPr>
          <w:p w:rsidR="00E43FB3" w:rsidRPr="0031074B" w:rsidRDefault="00E43FB3" w:rsidP="00F940BE">
            <w:pPr>
              <w:rPr>
                <w:sz w:val="20"/>
                <w:szCs w:val="20"/>
              </w:rPr>
            </w:pPr>
            <w:r>
              <w:rPr>
                <w:sz w:val="20"/>
                <w:szCs w:val="20"/>
              </w:rPr>
              <w:t>2.4.3</w:t>
            </w:r>
          </w:p>
        </w:tc>
        <w:tc>
          <w:tcPr>
            <w:tcW w:w="2693" w:type="dxa"/>
          </w:tcPr>
          <w:p w:rsidR="00E43FB3" w:rsidRPr="0031074B" w:rsidRDefault="00E43FB3" w:rsidP="00F940BE">
            <w:pPr>
              <w:rPr>
                <w:rFonts w:eastAsia="PMingLiU" w:cs="Times New Roman"/>
                <w:color w:val="000000"/>
                <w:sz w:val="20"/>
                <w:szCs w:val="20"/>
                <w:lang w:val="en-US" w:eastAsia="zh-TW"/>
              </w:rPr>
            </w:pPr>
            <w:r w:rsidRPr="00E43FB3">
              <w:rPr>
                <w:rFonts w:eastAsia="PMingLiU" w:cs="Times New Roman"/>
                <w:color w:val="000000"/>
                <w:sz w:val="20"/>
                <w:szCs w:val="20"/>
                <w:lang w:val="en-US" w:eastAsia="zh-TW"/>
              </w:rPr>
              <w:t>Input document</w:t>
            </w:r>
            <w:r>
              <w:rPr>
                <w:rFonts w:eastAsia="PMingLiU" w:cs="Times New Roman"/>
                <w:color w:val="000000"/>
                <w:sz w:val="20"/>
                <w:szCs w:val="20"/>
                <w:lang w:val="en-US" w:eastAsia="zh-TW"/>
              </w:rPr>
              <w:t>at</w:t>
            </w:r>
            <w:r w:rsidRPr="00E43FB3">
              <w:rPr>
                <w:rFonts w:eastAsia="PMingLiU" w:cs="Times New Roman"/>
                <w:color w:val="000000"/>
                <w:sz w:val="20"/>
                <w:szCs w:val="20"/>
                <w:lang w:val="en-US" w:eastAsia="zh-TW"/>
              </w:rPr>
              <w:t>ion in relation to area classification is obtained and forwarded to appropriate personnel</w:t>
            </w:r>
          </w:p>
        </w:tc>
        <w:tc>
          <w:tcPr>
            <w:tcW w:w="3209" w:type="dxa"/>
          </w:tcPr>
          <w:p w:rsidR="00E43FB3" w:rsidRPr="00E43FB3" w:rsidRDefault="00E43FB3" w:rsidP="00F940BE">
            <w:pPr>
              <w:rPr>
                <w:sz w:val="20"/>
                <w:szCs w:val="20"/>
              </w:rPr>
            </w:pPr>
            <w:r w:rsidRPr="00E43FB3">
              <w:rPr>
                <w:sz w:val="20"/>
                <w:szCs w:val="20"/>
              </w:rPr>
              <w:t>Hazardous material data, plant and process details</w:t>
            </w:r>
          </w:p>
        </w:tc>
      </w:tr>
      <w:tr w:rsidR="00A1065B" w:rsidRPr="0031074B" w:rsidTr="00F940BE">
        <w:tc>
          <w:tcPr>
            <w:tcW w:w="562" w:type="dxa"/>
            <w:vMerge w:val="restart"/>
          </w:tcPr>
          <w:p w:rsidR="00A1065B" w:rsidRPr="0031074B" w:rsidRDefault="00D20199" w:rsidP="00F940BE">
            <w:pPr>
              <w:rPr>
                <w:sz w:val="20"/>
                <w:szCs w:val="20"/>
              </w:rPr>
            </w:pPr>
            <w:r>
              <w:rPr>
                <w:rFonts w:hint="eastAsia"/>
                <w:sz w:val="20"/>
                <w:szCs w:val="20"/>
              </w:rPr>
              <w:t>2.5</w:t>
            </w:r>
          </w:p>
        </w:tc>
        <w:tc>
          <w:tcPr>
            <w:tcW w:w="1843" w:type="dxa"/>
            <w:vMerge w:val="restart"/>
          </w:tcPr>
          <w:p w:rsidR="00A1065B" w:rsidRPr="0031074B" w:rsidRDefault="00D20199" w:rsidP="00F940BE">
            <w:pPr>
              <w:rPr>
                <w:sz w:val="20"/>
                <w:szCs w:val="20"/>
              </w:rPr>
            </w:pPr>
            <w:r w:rsidRPr="00D20199">
              <w:rPr>
                <w:sz w:val="20"/>
                <w:szCs w:val="20"/>
              </w:rPr>
              <w:t>Confirm that the area classification in complete and documented</w:t>
            </w:r>
          </w:p>
        </w:tc>
        <w:tc>
          <w:tcPr>
            <w:tcW w:w="709" w:type="dxa"/>
          </w:tcPr>
          <w:p w:rsidR="00A1065B" w:rsidRPr="0031074B" w:rsidRDefault="00FB5C35" w:rsidP="00F940BE">
            <w:pPr>
              <w:rPr>
                <w:sz w:val="20"/>
                <w:szCs w:val="20"/>
              </w:rPr>
            </w:pPr>
            <w:r>
              <w:rPr>
                <w:sz w:val="20"/>
                <w:szCs w:val="20"/>
              </w:rPr>
              <w:t>2.5.1</w:t>
            </w:r>
          </w:p>
        </w:tc>
        <w:tc>
          <w:tcPr>
            <w:tcW w:w="2693" w:type="dxa"/>
          </w:tcPr>
          <w:p w:rsidR="00A1065B" w:rsidRPr="0031074B" w:rsidRDefault="00FB5C35" w:rsidP="00F940BE">
            <w:pPr>
              <w:rPr>
                <w:rFonts w:eastAsia="PMingLiU" w:cs="Times New Roman"/>
                <w:color w:val="000000"/>
                <w:sz w:val="20"/>
                <w:szCs w:val="20"/>
                <w:lang w:val="en-US" w:eastAsia="zh-TW"/>
              </w:rPr>
            </w:pPr>
            <w:r w:rsidRPr="00FB5C35">
              <w:rPr>
                <w:rFonts w:eastAsia="PMingLiU" w:cs="Times New Roman"/>
                <w:color w:val="000000"/>
                <w:sz w:val="20"/>
                <w:szCs w:val="20"/>
                <w:lang w:val="en-US" w:eastAsia="zh-TW"/>
              </w:rPr>
              <w:t>The area classification is documented in accordance with procedures</w:t>
            </w:r>
          </w:p>
        </w:tc>
        <w:tc>
          <w:tcPr>
            <w:tcW w:w="3209" w:type="dxa"/>
          </w:tcPr>
          <w:p w:rsidR="00A1065B" w:rsidRPr="0031074B" w:rsidRDefault="00FB5C35" w:rsidP="00F940BE">
            <w:pPr>
              <w:rPr>
                <w:rFonts w:eastAsia="PMingLiU" w:cs="Times New Roman"/>
                <w:color w:val="000000"/>
                <w:sz w:val="20"/>
                <w:szCs w:val="20"/>
                <w:lang w:val="en-US" w:eastAsia="zh-TW"/>
              </w:rPr>
            </w:pPr>
            <w:r w:rsidRPr="00FB5C35">
              <w:rPr>
                <w:rFonts w:eastAsia="PMingLiU" w:cs="Times New Roman"/>
                <w:color w:val="000000"/>
                <w:sz w:val="20"/>
                <w:szCs w:val="20"/>
                <w:lang w:val="en-US" w:eastAsia="zh-TW"/>
              </w:rPr>
              <w:t>Report and drawings</w:t>
            </w:r>
          </w:p>
        </w:tc>
      </w:tr>
      <w:tr w:rsidR="00A1065B" w:rsidRPr="00C7032E" w:rsidTr="00F940BE">
        <w:tc>
          <w:tcPr>
            <w:tcW w:w="562" w:type="dxa"/>
            <w:vMerge/>
          </w:tcPr>
          <w:p w:rsidR="00A1065B" w:rsidRPr="0031074B" w:rsidRDefault="00A1065B" w:rsidP="00F940BE">
            <w:pPr>
              <w:rPr>
                <w:sz w:val="20"/>
                <w:szCs w:val="20"/>
              </w:rPr>
            </w:pPr>
          </w:p>
        </w:tc>
        <w:tc>
          <w:tcPr>
            <w:tcW w:w="1843" w:type="dxa"/>
            <w:vMerge/>
          </w:tcPr>
          <w:p w:rsidR="00A1065B" w:rsidRDefault="00A1065B" w:rsidP="00F940BE">
            <w:pPr>
              <w:rPr>
                <w:sz w:val="20"/>
                <w:szCs w:val="20"/>
              </w:rPr>
            </w:pPr>
          </w:p>
        </w:tc>
        <w:tc>
          <w:tcPr>
            <w:tcW w:w="709" w:type="dxa"/>
          </w:tcPr>
          <w:p w:rsidR="00A1065B" w:rsidRDefault="00FB5C35" w:rsidP="00F940BE">
            <w:pPr>
              <w:rPr>
                <w:sz w:val="20"/>
                <w:szCs w:val="20"/>
              </w:rPr>
            </w:pPr>
            <w:r>
              <w:rPr>
                <w:rFonts w:hint="eastAsia"/>
                <w:sz w:val="20"/>
                <w:szCs w:val="20"/>
              </w:rPr>
              <w:t>2.5.2</w:t>
            </w:r>
          </w:p>
        </w:tc>
        <w:tc>
          <w:tcPr>
            <w:tcW w:w="2693" w:type="dxa"/>
          </w:tcPr>
          <w:p w:rsidR="00A1065B" w:rsidRPr="0031074B" w:rsidRDefault="00FB5C35" w:rsidP="00F940BE">
            <w:pPr>
              <w:rPr>
                <w:rFonts w:eastAsia="PMingLiU" w:cs="Times New Roman"/>
                <w:color w:val="000000"/>
                <w:sz w:val="20"/>
                <w:szCs w:val="20"/>
                <w:lang w:val="en-US" w:eastAsia="zh-TW"/>
              </w:rPr>
            </w:pPr>
            <w:r w:rsidRPr="00FB5C35">
              <w:rPr>
                <w:rFonts w:eastAsia="PMingLiU" w:cs="Times New Roman"/>
                <w:color w:val="000000"/>
                <w:sz w:val="20"/>
                <w:szCs w:val="20"/>
                <w:lang w:val="en-US" w:eastAsia="zh-TW"/>
              </w:rPr>
              <w:t>Responsibility for review and maintenance of the area classification is defined</w:t>
            </w:r>
          </w:p>
        </w:tc>
        <w:tc>
          <w:tcPr>
            <w:tcW w:w="3209" w:type="dxa"/>
          </w:tcPr>
          <w:p w:rsidR="00A1065B" w:rsidRPr="00C7032E" w:rsidRDefault="00FB5C35" w:rsidP="00F940BE">
            <w:pPr>
              <w:rPr>
                <w:rFonts w:eastAsia="PMingLiU" w:cs="Times New Roman"/>
                <w:color w:val="000000"/>
                <w:sz w:val="20"/>
                <w:szCs w:val="20"/>
                <w:lang w:val="en-US" w:eastAsia="zh-TW"/>
              </w:rPr>
            </w:pPr>
            <w:r w:rsidRPr="00FB5C35">
              <w:rPr>
                <w:rFonts w:eastAsia="PMingLiU" w:cs="Times New Roman"/>
                <w:color w:val="000000"/>
                <w:sz w:val="20"/>
                <w:szCs w:val="20"/>
                <w:lang w:val="en-US" w:eastAsia="zh-TW"/>
              </w:rPr>
              <w:t>Review person</w:t>
            </w:r>
            <w:r>
              <w:rPr>
                <w:rFonts w:eastAsia="PMingLiU" w:cs="Times New Roman"/>
                <w:color w:val="000000"/>
                <w:sz w:val="20"/>
                <w:szCs w:val="20"/>
                <w:lang w:val="en-US" w:eastAsia="zh-TW"/>
              </w:rPr>
              <w:t>n</w:t>
            </w:r>
            <w:r w:rsidRPr="00FB5C35">
              <w:rPr>
                <w:rFonts w:eastAsia="PMingLiU" w:cs="Times New Roman"/>
                <w:color w:val="000000"/>
                <w:sz w:val="20"/>
                <w:szCs w:val="20"/>
                <w:lang w:val="en-US" w:eastAsia="zh-TW"/>
              </w:rPr>
              <w:t>el and period</w:t>
            </w:r>
          </w:p>
        </w:tc>
      </w:tr>
    </w:tbl>
    <w:p w:rsidR="00AB3FFE" w:rsidRPr="004B2FF1" w:rsidRDefault="00AB3FFE">
      <w:pPr>
        <w:rPr>
          <w:sz w:val="16"/>
          <w:szCs w:val="16"/>
        </w:rPr>
      </w:pPr>
    </w:p>
    <w:p w:rsidR="00D70E02" w:rsidRDefault="00D70E02" w:rsidP="00D70E02">
      <w:pPr>
        <w:rPr>
          <w:b/>
          <w:sz w:val="20"/>
          <w:szCs w:val="20"/>
        </w:rPr>
      </w:pPr>
      <w:r>
        <w:rPr>
          <w:b/>
          <w:sz w:val="20"/>
          <w:szCs w:val="20"/>
        </w:rPr>
        <w:t xml:space="preserve">4.4.4 </w:t>
      </w:r>
      <w:r>
        <w:rPr>
          <w:b/>
          <w:sz w:val="20"/>
          <w:szCs w:val="20"/>
        </w:rPr>
        <w:tab/>
        <w:t>Scope limitations</w:t>
      </w:r>
    </w:p>
    <w:p w:rsidR="00D70E02" w:rsidRDefault="00D70E02" w:rsidP="00D70E02">
      <w:pPr>
        <w:rPr>
          <w:sz w:val="20"/>
          <w:szCs w:val="20"/>
        </w:rPr>
      </w:pPr>
      <w:r>
        <w:rPr>
          <w:sz w:val="20"/>
          <w:szCs w:val="20"/>
        </w:rPr>
        <w:t>Scope limitations by Group are acceptable to Unit Ex 002 (refer to Table 4.1)</w:t>
      </w:r>
    </w:p>
    <w:p w:rsidR="00D70E02" w:rsidRDefault="00D70E02" w:rsidP="00D70E02">
      <w:pPr>
        <w:rPr>
          <w:b/>
          <w:sz w:val="20"/>
          <w:szCs w:val="20"/>
        </w:rPr>
      </w:pPr>
      <w:r>
        <w:rPr>
          <w:b/>
          <w:sz w:val="20"/>
          <w:szCs w:val="20"/>
        </w:rPr>
        <w:t>4.4.5</w:t>
      </w:r>
      <w:r>
        <w:rPr>
          <w:b/>
          <w:sz w:val="20"/>
          <w:szCs w:val="20"/>
        </w:rPr>
        <w:tab/>
        <w:t>Evidence guide – Critical aspects of evidence</w:t>
      </w:r>
    </w:p>
    <w:p w:rsidR="00D70E02" w:rsidRDefault="004B2FF1" w:rsidP="00D70E02">
      <w:pPr>
        <w:rPr>
          <w:sz w:val="20"/>
          <w:szCs w:val="20"/>
        </w:rPr>
      </w:pPr>
      <w:r>
        <w:rPr>
          <w:sz w:val="20"/>
          <w:szCs w:val="20"/>
        </w:rPr>
        <w:t>Evidence of competence in this unit shall show:</w:t>
      </w:r>
    </w:p>
    <w:p w:rsidR="004B2FF1" w:rsidRDefault="004B2FF1" w:rsidP="00D70E02">
      <w:pPr>
        <w:rPr>
          <w:sz w:val="20"/>
          <w:szCs w:val="20"/>
        </w:rPr>
      </w:pPr>
      <w:r>
        <w:rPr>
          <w:sz w:val="20"/>
          <w:szCs w:val="20"/>
        </w:rPr>
        <w:t>a)</w:t>
      </w:r>
      <w:r>
        <w:rPr>
          <w:sz w:val="20"/>
          <w:szCs w:val="20"/>
        </w:rPr>
        <w:tab/>
        <w:t xml:space="preserve">Competent performance associated with each element of competence by employing the techniques, </w:t>
      </w:r>
      <w:r>
        <w:rPr>
          <w:sz w:val="20"/>
          <w:szCs w:val="20"/>
        </w:rPr>
        <w:tab/>
        <w:t xml:space="preserve">procedures, information and resources available in the workplace and encompassing the aspects for </w:t>
      </w:r>
      <w:r>
        <w:rPr>
          <w:sz w:val="20"/>
          <w:szCs w:val="20"/>
        </w:rPr>
        <w:tab/>
        <w:t>which competence is sought according to Table 4.4.3</w:t>
      </w:r>
    </w:p>
    <w:p w:rsidR="004B2FF1" w:rsidRDefault="004B2FF1" w:rsidP="00D70E02">
      <w:pPr>
        <w:rPr>
          <w:sz w:val="20"/>
          <w:szCs w:val="20"/>
        </w:rPr>
      </w:pPr>
      <w:r>
        <w:rPr>
          <w:sz w:val="20"/>
          <w:szCs w:val="20"/>
        </w:rPr>
        <w:t>b)</w:t>
      </w:r>
      <w:r>
        <w:rPr>
          <w:sz w:val="20"/>
          <w:szCs w:val="20"/>
        </w:rPr>
        <w:tab/>
        <w:t>An understanding of the knowledge and associated skills essential to performance as given in:</w:t>
      </w:r>
    </w:p>
    <w:p w:rsidR="004B2FF1" w:rsidRDefault="004B2FF1" w:rsidP="00D70E02">
      <w:pPr>
        <w:rPr>
          <w:sz w:val="20"/>
          <w:szCs w:val="20"/>
        </w:rPr>
      </w:pPr>
      <w:r>
        <w:rPr>
          <w:sz w:val="20"/>
          <w:szCs w:val="20"/>
        </w:rPr>
        <w:t>5.3</w:t>
      </w:r>
      <w:r>
        <w:rPr>
          <w:sz w:val="20"/>
          <w:szCs w:val="20"/>
        </w:rPr>
        <w:tab/>
        <w:t>Explosive atmospheres and explosion-protection principles</w:t>
      </w:r>
    </w:p>
    <w:p w:rsidR="004B2FF1" w:rsidRDefault="004B2FF1" w:rsidP="00D70E02">
      <w:pPr>
        <w:rPr>
          <w:sz w:val="20"/>
          <w:szCs w:val="20"/>
        </w:rPr>
      </w:pPr>
      <w:r>
        <w:rPr>
          <w:sz w:val="20"/>
          <w:szCs w:val="20"/>
        </w:rPr>
        <w:t>5.7</w:t>
      </w:r>
      <w:r>
        <w:rPr>
          <w:sz w:val="20"/>
          <w:szCs w:val="20"/>
        </w:rPr>
        <w:tab/>
        <w:t>Explosive atmospheres classification techniques</w:t>
      </w:r>
    </w:p>
    <w:p w:rsidR="004B2FF1" w:rsidRDefault="004B2FF1" w:rsidP="00D70E02">
      <w:pPr>
        <w:rPr>
          <w:sz w:val="20"/>
          <w:szCs w:val="20"/>
        </w:rPr>
      </w:pPr>
      <w:r>
        <w:rPr>
          <w:sz w:val="20"/>
          <w:szCs w:val="20"/>
        </w:rPr>
        <w:t>c)</w:t>
      </w:r>
      <w:r>
        <w:rPr>
          <w:sz w:val="20"/>
          <w:szCs w:val="20"/>
        </w:rPr>
        <w:tab/>
        <w:t>A practical application of the knowledge and skills essential to performance as given in:</w:t>
      </w:r>
    </w:p>
    <w:p w:rsidR="0031074B" w:rsidRPr="0031074B" w:rsidRDefault="004B2FF1">
      <w:pPr>
        <w:rPr>
          <w:sz w:val="20"/>
          <w:szCs w:val="20"/>
        </w:rPr>
      </w:pPr>
      <w:r>
        <w:rPr>
          <w:sz w:val="20"/>
          <w:szCs w:val="20"/>
        </w:rPr>
        <w:t>5.8</w:t>
      </w:r>
      <w:r>
        <w:rPr>
          <w:sz w:val="20"/>
          <w:szCs w:val="20"/>
        </w:rPr>
        <w:tab/>
        <w:t>Hazardous area classification work performance</w:t>
      </w:r>
    </w:p>
    <w:sectPr w:rsidR="0031074B" w:rsidRPr="0031074B" w:rsidSect="004B2FF1">
      <w:pgSz w:w="11906" w:h="16838"/>
      <w:pgMar w:top="1418"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A3" w:rsidRDefault="00430AA3" w:rsidP="00E45D41">
      <w:pPr>
        <w:spacing w:after="0" w:line="240" w:lineRule="auto"/>
      </w:pPr>
      <w:r>
        <w:separator/>
      </w:r>
    </w:p>
  </w:endnote>
  <w:endnote w:type="continuationSeparator" w:id="0">
    <w:p w:rsidR="00430AA3" w:rsidRDefault="00430AA3" w:rsidP="00E4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A3" w:rsidRDefault="00430AA3" w:rsidP="00E45D41">
      <w:pPr>
        <w:spacing w:after="0" w:line="240" w:lineRule="auto"/>
      </w:pPr>
      <w:r>
        <w:separator/>
      </w:r>
    </w:p>
  </w:footnote>
  <w:footnote w:type="continuationSeparator" w:id="0">
    <w:p w:rsidR="00430AA3" w:rsidRDefault="00430AA3" w:rsidP="00E45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D5"/>
    <w:rsid w:val="0016371D"/>
    <w:rsid w:val="00287BAE"/>
    <w:rsid w:val="002D262D"/>
    <w:rsid w:val="0031074B"/>
    <w:rsid w:val="00405BB9"/>
    <w:rsid w:val="00430AA3"/>
    <w:rsid w:val="00451CCF"/>
    <w:rsid w:val="004B2FF1"/>
    <w:rsid w:val="005448D4"/>
    <w:rsid w:val="00561EFE"/>
    <w:rsid w:val="00567818"/>
    <w:rsid w:val="005B10C6"/>
    <w:rsid w:val="005D03A9"/>
    <w:rsid w:val="007C0413"/>
    <w:rsid w:val="007E5E39"/>
    <w:rsid w:val="007E6606"/>
    <w:rsid w:val="00897A2C"/>
    <w:rsid w:val="008B06FC"/>
    <w:rsid w:val="00912CFE"/>
    <w:rsid w:val="00956BE1"/>
    <w:rsid w:val="00A1065B"/>
    <w:rsid w:val="00A551AD"/>
    <w:rsid w:val="00AB3FFE"/>
    <w:rsid w:val="00D20199"/>
    <w:rsid w:val="00D70E02"/>
    <w:rsid w:val="00DB0F6C"/>
    <w:rsid w:val="00E43FB3"/>
    <w:rsid w:val="00E45D41"/>
    <w:rsid w:val="00F76AD5"/>
    <w:rsid w:val="00FB5C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EEAD1C-FFC0-41BC-A1C2-81C90DE5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D41"/>
    <w:pPr>
      <w:tabs>
        <w:tab w:val="center" w:pos="4513"/>
        <w:tab w:val="right" w:pos="9026"/>
      </w:tabs>
      <w:snapToGrid w:val="0"/>
    </w:pPr>
    <w:rPr>
      <w:sz w:val="20"/>
      <w:szCs w:val="20"/>
    </w:rPr>
  </w:style>
  <w:style w:type="character" w:customStyle="1" w:styleId="HeaderChar">
    <w:name w:val="Header Char"/>
    <w:basedOn w:val="DefaultParagraphFont"/>
    <w:link w:val="Header"/>
    <w:uiPriority w:val="99"/>
    <w:rsid w:val="00E45D41"/>
    <w:rPr>
      <w:sz w:val="20"/>
      <w:szCs w:val="20"/>
    </w:rPr>
  </w:style>
  <w:style w:type="paragraph" w:styleId="Footer">
    <w:name w:val="footer"/>
    <w:basedOn w:val="Normal"/>
    <w:link w:val="FooterChar"/>
    <w:uiPriority w:val="99"/>
    <w:unhideWhenUsed/>
    <w:rsid w:val="00E45D41"/>
    <w:pPr>
      <w:tabs>
        <w:tab w:val="center" w:pos="4513"/>
        <w:tab w:val="right" w:pos="9026"/>
      </w:tabs>
      <w:snapToGrid w:val="0"/>
    </w:pPr>
    <w:rPr>
      <w:sz w:val="20"/>
      <w:szCs w:val="20"/>
    </w:rPr>
  </w:style>
  <w:style w:type="character" w:customStyle="1" w:styleId="FooterChar">
    <w:name w:val="Footer Char"/>
    <w:basedOn w:val="DefaultParagraphFont"/>
    <w:link w:val="Footer"/>
    <w:uiPriority w:val="99"/>
    <w:rsid w:val="00E45D41"/>
    <w:rPr>
      <w:sz w:val="20"/>
      <w:szCs w:val="20"/>
    </w:rPr>
  </w:style>
  <w:style w:type="paragraph" w:styleId="Date">
    <w:name w:val="Date"/>
    <w:basedOn w:val="Normal"/>
    <w:next w:val="Normal"/>
    <w:link w:val="DateChar"/>
    <w:uiPriority w:val="99"/>
    <w:semiHidden/>
    <w:unhideWhenUsed/>
    <w:rsid w:val="005B10C6"/>
    <w:pPr>
      <w:jc w:val="right"/>
    </w:pPr>
  </w:style>
  <w:style w:type="character" w:customStyle="1" w:styleId="DateChar">
    <w:name w:val="Date Char"/>
    <w:basedOn w:val="DefaultParagraphFont"/>
    <w:link w:val="Date"/>
    <w:uiPriority w:val="99"/>
    <w:semiHidden/>
    <w:rsid w:val="005B10C6"/>
  </w:style>
  <w:style w:type="table" w:styleId="TableGrid">
    <w:name w:val="Table Grid"/>
    <w:basedOn w:val="TableNormal"/>
    <w:uiPriority w:val="39"/>
    <w:rsid w:val="002D2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7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73787">
      <w:bodyDiv w:val="1"/>
      <w:marLeft w:val="0"/>
      <w:marRight w:val="0"/>
      <w:marTop w:val="0"/>
      <w:marBottom w:val="0"/>
      <w:divBdr>
        <w:top w:val="none" w:sz="0" w:space="0" w:color="auto"/>
        <w:left w:val="none" w:sz="0" w:space="0" w:color="auto"/>
        <w:bottom w:val="none" w:sz="0" w:space="0" w:color="auto"/>
        <w:right w:val="none" w:sz="0" w:space="0" w:color="auto"/>
      </w:divBdr>
    </w:div>
    <w:div w:id="886644815">
      <w:bodyDiv w:val="1"/>
      <w:marLeft w:val="0"/>
      <w:marRight w:val="0"/>
      <w:marTop w:val="0"/>
      <w:marBottom w:val="0"/>
      <w:divBdr>
        <w:top w:val="none" w:sz="0" w:space="0" w:color="auto"/>
        <w:left w:val="none" w:sz="0" w:space="0" w:color="auto"/>
        <w:bottom w:val="none" w:sz="0" w:space="0" w:color="auto"/>
        <w:right w:val="none" w:sz="0" w:space="0" w:color="auto"/>
      </w:divBdr>
    </w:div>
    <w:div w:id="15316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Middlehurst</dc:creator>
  <cp:keywords/>
  <dc:description/>
  <cp:lastModifiedBy>Janet Middlehurst</cp:lastModifiedBy>
  <cp:revision>20</cp:revision>
  <dcterms:created xsi:type="dcterms:W3CDTF">2018-06-12T09:44:00Z</dcterms:created>
  <dcterms:modified xsi:type="dcterms:W3CDTF">2018-06-20T06:36:00Z</dcterms:modified>
</cp:coreProperties>
</file>