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5F" w:rsidRDefault="00EA615F" w:rsidP="00EA615F">
      <w:pPr>
        <w:rPr>
          <w:rFonts w:ascii="Arial" w:eastAsia="Calibri" w:hAnsi="Arial"/>
          <w:b/>
          <w:bCs/>
          <w:lang w:eastAsia="x-none"/>
        </w:rPr>
      </w:pPr>
      <w:r w:rsidRPr="00BE52B6">
        <w:rPr>
          <w:rFonts w:ascii="Arial" w:eastAsia="Calibri" w:hAnsi="Arial"/>
          <w:b/>
          <w:bCs/>
          <w:lang w:eastAsia="x-none"/>
        </w:rPr>
        <w:t>INTERNATIONAL ELECTROTECHNICAL COMMISSION SYSTEM FOR CERTIFICATION TO STANDARDS RELATING TO EQUIPMENT FOR USE IN EXPLOSIVE ATMOSPHERES (IECEx SYSTEM)</w:t>
      </w:r>
    </w:p>
    <w:p w:rsidR="00EA615F" w:rsidRPr="00BE52B6" w:rsidRDefault="00EA615F" w:rsidP="00EA615F">
      <w:pPr>
        <w:rPr>
          <w:rFonts w:ascii="Arial" w:eastAsia="Calibri" w:hAnsi="Arial"/>
          <w:b/>
          <w:bCs/>
          <w:lang w:eastAsia="x-none"/>
        </w:rPr>
      </w:pPr>
    </w:p>
    <w:p w:rsidR="00EA615F" w:rsidRDefault="00EA615F" w:rsidP="00EA615F">
      <w:pPr>
        <w:ind w:left="868" w:hanging="868"/>
        <w:rPr>
          <w:rFonts w:ascii="Arial" w:hAnsi="Arial"/>
          <w:b/>
          <w:bCs/>
          <w:color w:val="000000"/>
        </w:rPr>
      </w:pPr>
      <w:r w:rsidRPr="00BE52B6">
        <w:rPr>
          <w:rFonts w:ascii="Arial" w:eastAsia="Calibri" w:hAnsi="Arial" w:cs="Arial"/>
          <w:b/>
          <w:bCs/>
        </w:rPr>
        <w:t xml:space="preserve">TITLE:  </w:t>
      </w:r>
      <w:r w:rsidRPr="00EA615F">
        <w:rPr>
          <w:rFonts w:ascii="Arial" w:eastAsia="Calibri" w:hAnsi="Arial" w:cs="Arial"/>
          <w:b/>
          <w:bCs/>
        </w:rPr>
        <w:t xml:space="preserve">Document for discussion at the 2018 ExTAG Cannes meeting </w:t>
      </w:r>
      <w:r>
        <w:rPr>
          <w:rFonts w:ascii="Arial" w:eastAsia="Calibri" w:hAnsi="Arial" w:cs="Arial"/>
          <w:b/>
          <w:bCs/>
        </w:rPr>
        <w:t xml:space="preserve">- </w:t>
      </w:r>
      <w:r w:rsidRPr="00BE52B6">
        <w:rPr>
          <w:rFonts w:ascii="Arial" w:eastAsia="Calibri" w:hAnsi="Arial" w:cs="Arial"/>
          <w:b/>
          <w:bCs/>
        </w:rPr>
        <w:t>Compilation of comm</w:t>
      </w:r>
      <w:r>
        <w:rPr>
          <w:rFonts w:ascii="Arial" w:eastAsia="Calibri" w:hAnsi="Arial" w:cs="Arial"/>
          <w:b/>
          <w:bCs/>
        </w:rPr>
        <w:t>ents and observations on ExTAG/502</w:t>
      </w:r>
      <w:r w:rsidRPr="00BE52B6">
        <w:rPr>
          <w:rFonts w:ascii="Arial" w:eastAsia="Calibri" w:hAnsi="Arial" w:cs="Arial"/>
          <w:b/>
          <w:bCs/>
        </w:rPr>
        <w:t xml:space="preserve">/CD - </w:t>
      </w: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Draft New ExTAG Decision Sheet </w:t>
      </w:r>
      <w:r w:rsidRPr="004A7233">
        <w:rPr>
          <w:rFonts w:ascii="Arial" w:hAnsi="Arial" w:cs="Arial"/>
          <w:b/>
          <w:bCs/>
          <w:lang w:val="en-US"/>
        </w:rPr>
        <w:t>–</w:t>
      </w:r>
      <w:r w:rsidRPr="004A7233">
        <w:rPr>
          <w:rFonts w:ascii="Arial" w:hAnsi="Arial"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color w:val="000000"/>
        </w:rPr>
        <w:t>Application of IEC 60079-28 (replacement for previous Draft DS 2017/003A (ExTAG/484/CD)</w:t>
      </w:r>
    </w:p>
    <w:p w:rsidR="00EA615F" w:rsidRPr="00BE52B6" w:rsidRDefault="00EA615F" w:rsidP="00EA615F">
      <w:pPr>
        <w:ind w:left="851" w:hanging="851"/>
        <w:rPr>
          <w:rFonts w:ascii="Arial" w:eastAsia="Calibri" w:hAnsi="Arial" w:cs="Arial"/>
          <w:b/>
          <w:bCs/>
        </w:rPr>
      </w:pPr>
    </w:p>
    <w:p w:rsidR="00EA615F" w:rsidRPr="00BE52B6" w:rsidRDefault="00EA615F" w:rsidP="00EA615F">
      <w:pPr>
        <w:ind w:left="142" w:hanging="142"/>
        <w:outlineLvl w:val="0"/>
        <w:rPr>
          <w:rFonts w:ascii="Arial" w:eastAsia="Calibri" w:hAnsi="Arial" w:cs="Arial"/>
          <w:b/>
          <w:bCs/>
        </w:rPr>
      </w:pPr>
      <w:r w:rsidRPr="00BE52B6">
        <w:rPr>
          <w:rFonts w:ascii="Arial" w:eastAsia="Calibri" w:hAnsi="Arial" w:cs="Arial"/>
          <w:b/>
          <w:bCs/>
        </w:rPr>
        <w:t>Circulated to: ExTAG – IECEx Testing and Assessment Group</w:t>
      </w:r>
    </w:p>
    <w:p w:rsidR="00EA615F" w:rsidRPr="00BE52B6" w:rsidRDefault="00EA615F" w:rsidP="00EA615F">
      <w:pPr>
        <w:pBdr>
          <w:top w:val="thinThickSmallGap" w:sz="24" w:space="1" w:color="0000FF"/>
        </w:pBdr>
        <w:ind w:left="142" w:hanging="142"/>
        <w:outlineLvl w:val="0"/>
        <w:rPr>
          <w:rFonts w:ascii="Arial" w:eastAsia="Calibri" w:hAnsi="Arial"/>
          <w:b/>
          <w:bCs/>
          <w:lang w:eastAsia="x-none"/>
        </w:rPr>
      </w:pPr>
    </w:p>
    <w:p w:rsidR="00EA615F" w:rsidRDefault="00EA615F" w:rsidP="00EA615F">
      <w:pPr>
        <w:ind w:left="142" w:hanging="142"/>
        <w:jc w:val="center"/>
        <w:rPr>
          <w:rFonts w:ascii="Arial" w:eastAsia="Calibri" w:hAnsi="Arial" w:cs="Arial"/>
          <w:b/>
          <w:bCs/>
          <w:iCs/>
          <w:u w:val="single"/>
        </w:rPr>
      </w:pPr>
      <w:r w:rsidRPr="00BE52B6">
        <w:rPr>
          <w:rFonts w:ascii="Arial" w:eastAsia="Calibri" w:hAnsi="Arial" w:cs="Arial"/>
          <w:b/>
          <w:bCs/>
          <w:iCs/>
          <w:u w:val="single"/>
        </w:rPr>
        <w:t>INTRODUCTION</w:t>
      </w:r>
    </w:p>
    <w:p w:rsidR="00EA615F" w:rsidRPr="00BE52B6" w:rsidRDefault="00EA615F" w:rsidP="00EA615F">
      <w:pPr>
        <w:ind w:left="142" w:hanging="142"/>
        <w:jc w:val="center"/>
        <w:rPr>
          <w:rFonts w:ascii="Arial" w:eastAsia="Calibri" w:hAnsi="Arial" w:cs="Arial"/>
          <w:b/>
          <w:bCs/>
          <w:iCs/>
          <w:u w:val="single"/>
        </w:rPr>
      </w:pPr>
    </w:p>
    <w:p w:rsidR="00EA615F" w:rsidRPr="00EA615F" w:rsidRDefault="00EA615F" w:rsidP="00EA615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i/>
          <w:color w:val="000000"/>
          <w:u w:color="000000"/>
          <w:bdr w:val="nil"/>
          <w:lang w:eastAsia="en-AU"/>
        </w:rPr>
      </w:pPr>
      <w:r w:rsidRPr="00E32847">
        <w:rPr>
          <w:rFonts w:ascii="Arial" w:eastAsia="Arial Unicode MS" w:hAnsi="Arial" w:cs="Arial"/>
          <w:color w:val="000000"/>
          <w:u w:color="000000"/>
          <w:bdr w:val="nil"/>
          <w:lang w:eastAsia="en-AU"/>
        </w:rPr>
        <w:t>This docume</w:t>
      </w:r>
      <w:r>
        <w:rPr>
          <w:rFonts w:ascii="Arial" w:eastAsia="Arial Unicode MS" w:hAnsi="Arial" w:cs="Arial"/>
          <w:color w:val="000000"/>
          <w:u w:color="000000"/>
          <w:bdr w:val="nil"/>
          <w:lang w:eastAsia="en-AU"/>
        </w:rPr>
        <w:t xml:space="preserve">nt is a compilation of comments </w:t>
      </w:r>
      <w:r w:rsidRPr="00E32847">
        <w:rPr>
          <w:rFonts w:ascii="Arial" w:eastAsia="Arial Unicode MS" w:hAnsi="Arial" w:cs="Arial"/>
          <w:color w:val="000000"/>
          <w:u w:color="000000"/>
          <w:bdr w:val="nil"/>
          <w:lang w:eastAsia="en-AU"/>
        </w:rPr>
        <w:t>on</w:t>
      </w:r>
      <w:r w:rsidRPr="00EA615F">
        <w:t xml:space="preserve"> </w:t>
      </w:r>
      <w:r w:rsidRPr="00EA615F">
        <w:rPr>
          <w:rFonts w:ascii="Arial" w:eastAsia="Arial Unicode MS" w:hAnsi="Arial" w:cs="Arial"/>
          <w:i/>
          <w:color w:val="000000"/>
          <w:u w:color="000000"/>
          <w:bdr w:val="nil"/>
          <w:lang w:eastAsia="en-AU"/>
        </w:rPr>
        <w:t>ExTAG/502/CD - Draft New ExTAG Decision Sheet – Application of IEC 60079-28 (replacement for previous Draft DS 2017/003A (ExTAG/484/CD)</w:t>
      </w:r>
    </w:p>
    <w:p w:rsidR="00EA615F" w:rsidRDefault="00EA615F" w:rsidP="00EA615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0000"/>
          <w:u w:color="000000"/>
          <w:bdr w:val="nil"/>
          <w:lang w:eastAsia="en-AU"/>
        </w:rPr>
      </w:pPr>
    </w:p>
    <w:p w:rsidR="00EA615F" w:rsidRPr="00BE52B6" w:rsidRDefault="00EA615F" w:rsidP="00EA615F">
      <w:pPr>
        <w:rPr>
          <w:rFonts w:ascii="Arial" w:eastAsia="Calibri" w:hAnsi="Arial" w:cs="Arial"/>
          <w:lang w:val="en-US"/>
        </w:rPr>
      </w:pPr>
      <w:r w:rsidRPr="00751DE9">
        <w:rPr>
          <w:rFonts w:ascii="Arial" w:hAnsi="Arial" w:cs="Arial"/>
        </w:rPr>
        <w:t xml:space="preserve">In light of the comments received </w:t>
      </w:r>
      <w:r w:rsidRPr="00965B12">
        <w:rPr>
          <w:rFonts w:ascii="Arial" w:hAnsi="Arial" w:cs="Arial"/>
        </w:rPr>
        <w:t>a revised version,</w:t>
      </w:r>
      <w:r>
        <w:rPr>
          <w:rFonts w:ascii="Arial" w:hAnsi="Arial" w:cs="Arial"/>
        </w:rPr>
        <w:t xml:space="preserve"> </w:t>
      </w:r>
      <w:r w:rsidRPr="00EA615F">
        <w:rPr>
          <w:rFonts w:ascii="Arial" w:hAnsi="Arial" w:cs="Arial"/>
        </w:rPr>
        <w:t>ExTAG/502</w:t>
      </w:r>
      <w:r>
        <w:rPr>
          <w:rFonts w:ascii="Arial" w:hAnsi="Arial" w:cs="Arial"/>
        </w:rPr>
        <w:t>A</w:t>
      </w:r>
      <w:r w:rsidRPr="00EA615F">
        <w:rPr>
          <w:rFonts w:ascii="Arial" w:hAnsi="Arial" w:cs="Arial"/>
        </w:rPr>
        <w:t>/CD - Draft New ExTAG Decision Sheet – Application of IEC 60079-28 (replacement for previous Draft DS 2017/003A (ExTAG/484/CD)</w:t>
      </w:r>
      <w:r>
        <w:rPr>
          <w:rFonts w:ascii="Arial" w:hAnsi="Arial" w:cs="Arial"/>
        </w:rPr>
        <w:t xml:space="preserve"> along with the comments included in this document, have been prepared for discussion during the 2018 ExTAG Cannes Meeting. </w:t>
      </w:r>
    </w:p>
    <w:p w:rsidR="00EA615F" w:rsidRPr="00BE52B6" w:rsidRDefault="00EA615F" w:rsidP="00EA615F">
      <w:pPr>
        <w:ind w:left="425" w:hanging="425"/>
        <w:rPr>
          <w:rFonts w:ascii="Arial" w:eastAsia="Calibri" w:hAnsi="Arial" w:cs="Arial"/>
          <w:lang w:val="en-US"/>
        </w:rPr>
      </w:pPr>
    </w:p>
    <w:p w:rsidR="00EA615F" w:rsidRPr="00E32847" w:rsidRDefault="00EA615F" w:rsidP="00EA615F">
      <w:pPr>
        <w:outlineLvl w:val="0"/>
        <w:rPr>
          <w:rFonts w:ascii="Arial" w:hAnsi="Arial" w:cs="Arial"/>
          <w:b/>
          <w:bCs/>
          <w:i/>
          <w:color w:val="FF0000"/>
          <w:lang w:val="en-US"/>
        </w:rPr>
      </w:pPr>
      <w:r w:rsidRPr="00E32847">
        <w:rPr>
          <w:rFonts w:ascii="Arial" w:hAnsi="Arial" w:cs="Arial"/>
          <w:b/>
          <w:bCs/>
          <w:i/>
          <w:color w:val="FF0000"/>
          <w:lang w:val="en-US"/>
        </w:rPr>
        <w:t>Please inform the Secretariat immediately of any omissions or errors at-</w:t>
      </w:r>
    </w:p>
    <w:p w:rsidR="00EA615F" w:rsidRPr="00E32847" w:rsidRDefault="00EA615F" w:rsidP="00EA615F">
      <w:pPr>
        <w:outlineLvl w:val="0"/>
        <w:rPr>
          <w:rFonts w:ascii="Arial" w:hAnsi="Arial" w:cs="Arial"/>
          <w:bCs/>
          <w:i/>
          <w:lang w:val="en-US"/>
        </w:rPr>
      </w:pPr>
    </w:p>
    <w:p w:rsidR="00EA615F" w:rsidRPr="00E32847" w:rsidRDefault="009E7D95" w:rsidP="00EA615F">
      <w:pPr>
        <w:outlineLvl w:val="0"/>
        <w:rPr>
          <w:rFonts w:ascii="Arial" w:hAnsi="Arial" w:cs="Arial"/>
          <w:b/>
          <w:bCs/>
          <w:i/>
          <w:lang w:val="en-US"/>
        </w:rPr>
      </w:pPr>
      <w:hyperlink r:id="rId6" w:history="1">
        <w:r w:rsidR="00EA615F" w:rsidRPr="00E32847">
          <w:rPr>
            <w:rFonts w:ascii="Arial" w:hAnsi="Arial" w:cs="Arial"/>
            <w:b/>
            <w:bCs/>
            <w:i/>
            <w:color w:val="0563C1"/>
            <w:u w:val="single"/>
            <w:lang w:val="en-US"/>
          </w:rPr>
          <w:t>Christine Kane</w:t>
        </w:r>
      </w:hyperlink>
    </w:p>
    <w:p w:rsidR="00EA615F" w:rsidRPr="00E32847" w:rsidRDefault="00EA615F" w:rsidP="00EA615F">
      <w:pPr>
        <w:outlineLvl w:val="0"/>
        <w:rPr>
          <w:rFonts w:ascii="Arial" w:hAnsi="Arial" w:cs="Arial"/>
          <w:lang w:val="en-US"/>
        </w:rPr>
      </w:pPr>
    </w:p>
    <w:p w:rsidR="00EA615F" w:rsidRPr="00E32847" w:rsidRDefault="00EA615F" w:rsidP="00EA615F">
      <w:pPr>
        <w:ind w:left="426" w:hanging="426"/>
        <w:rPr>
          <w:rFonts w:ascii="Arial" w:hAnsi="Arial" w:cs="Arial"/>
          <w:lang w:val="en-US"/>
        </w:rPr>
      </w:pPr>
      <w:r w:rsidRPr="00E32847">
        <w:rPr>
          <w:rFonts w:ascii="Arial" w:hAnsi="Arial" w:cs="Arial"/>
          <w:lang w:val="en-US"/>
        </w:rPr>
        <w:t xml:space="preserve">On behalf of Mr. Julien Gauthier </w:t>
      </w:r>
    </w:p>
    <w:p w:rsidR="00EA615F" w:rsidRPr="00E32847" w:rsidRDefault="00EA615F" w:rsidP="00EA615F">
      <w:pPr>
        <w:ind w:left="426" w:hanging="426"/>
        <w:rPr>
          <w:rFonts w:ascii="Arial" w:hAnsi="Arial" w:cs="Arial"/>
          <w:lang w:val="en-US"/>
        </w:rPr>
      </w:pPr>
    </w:p>
    <w:p w:rsidR="00EA615F" w:rsidRPr="00BE52B6" w:rsidRDefault="00EA615F" w:rsidP="00EA615F">
      <w:pPr>
        <w:keepNext/>
        <w:ind w:left="426" w:hanging="426"/>
        <w:outlineLvl w:val="1"/>
        <w:rPr>
          <w:rFonts w:ascii="Brush Script MT" w:eastAsia="Calibri" w:hAnsi="Brush Script MT" w:cs="Brush Script MT"/>
          <w:b/>
          <w:bCs/>
          <w:i/>
          <w:iCs/>
          <w:sz w:val="44"/>
          <w:szCs w:val="44"/>
          <w:lang w:eastAsia="x-none"/>
        </w:rPr>
      </w:pPr>
      <w:r w:rsidRPr="00BE52B6">
        <w:rPr>
          <w:rFonts w:ascii="Brush Script MT" w:eastAsia="Calibri" w:hAnsi="Brush Script MT" w:cs="Brush Script MT"/>
          <w:b/>
          <w:bCs/>
          <w:i/>
          <w:iCs/>
          <w:sz w:val="44"/>
          <w:szCs w:val="44"/>
          <w:lang w:eastAsia="x-none"/>
        </w:rPr>
        <w:t>Julien Gauthier</w:t>
      </w:r>
    </w:p>
    <w:p w:rsidR="00EA615F" w:rsidRPr="00BE52B6" w:rsidRDefault="00EA615F" w:rsidP="00EA615F">
      <w:pPr>
        <w:ind w:left="426" w:hanging="426"/>
        <w:rPr>
          <w:rFonts w:ascii="Arial" w:eastAsia="Calibri" w:hAnsi="Arial" w:cs="Arial"/>
          <w:b/>
          <w:bCs/>
          <w:i/>
          <w:iCs/>
          <w:color w:val="000000"/>
          <w:lang w:val="en-US"/>
        </w:rPr>
      </w:pPr>
      <w:r w:rsidRPr="00BE52B6">
        <w:rPr>
          <w:rFonts w:ascii="Arial" w:eastAsia="Calibri" w:hAnsi="Arial" w:cs="Arial"/>
          <w:b/>
          <w:bCs/>
          <w:i/>
          <w:iCs/>
          <w:color w:val="000000"/>
          <w:lang w:val="en-US"/>
        </w:rPr>
        <w:t>ExTAG Secretary</w:t>
      </w:r>
    </w:p>
    <w:p w:rsidR="00EA615F" w:rsidRPr="00BE52B6" w:rsidRDefault="00EA615F" w:rsidP="00EA615F">
      <w:pPr>
        <w:ind w:left="426" w:hanging="426"/>
        <w:rPr>
          <w:rFonts w:ascii="Arial" w:eastAsia="Calibri" w:hAnsi="Arial" w:cs="Arial"/>
          <w:b/>
          <w:bCs/>
          <w:i/>
          <w:iCs/>
          <w:color w:val="000000"/>
          <w:lang w:val="en-US"/>
        </w:rPr>
      </w:pPr>
    </w:p>
    <w:tbl>
      <w:tblPr>
        <w:tblW w:w="8789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961"/>
      </w:tblGrid>
      <w:tr w:rsidR="00EA615F" w:rsidRPr="00BE52B6" w:rsidTr="00AD3EE5">
        <w:trPr>
          <w:trHeight w:val="1725"/>
        </w:trPr>
        <w:tc>
          <w:tcPr>
            <w:tcW w:w="382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u w:val="single"/>
                <w:lang w:val="en-US"/>
              </w:rPr>
              <w:t>Address</w:t>
            </w:r>
            <w:r w:rsidRPr="00BE52B6"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  <w:t>:</w:t>
            </w:r>
          </w:p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  <w:t xml:space="preserve">IECEx Secretariat </w:t>
            </w:r>
          </w:p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  <w:t>Level 33 Australia Square</w:t>
            </w:r>
          </w:p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  <w:t xml:space="preserve">264 George Street </w:t>
            </w:r>
          </w:p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  <w:t>Sydney NSW 2000</w:t>
            </w:r>
          </w:p>
          <w:p w:rsidR="00EA615F" w:rsidRPr="00BE52B6" w:rsidRDefault="00EA615F" w:rsidP="00AD3EE5">
            <w:pPr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  <w:t>Australia</w:t>
            </w:r>
          </w:p>
          <w:p w:rsidR="00EA615F" w:rsidRPr="00BE52B6" w:rsidRDefault="00EA615F" w:rsidP="00AD3EE5">
            <w:pPr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  <w:t xml:space="preserve">Web: </w:t>
            </w:r>
            <w:hyperlink r:id="rId7" w:history="1">
              <w:r w:rsidRPr="00BE52B6">
                <w:rPr>
                  <w:rFonts w:ascii="Arial" w:eastAsia="Calibri" w:hAnsi="Arial" w:cs="Arial"/>
                  <w:b/>
                  <w:bCs/>
                  <w:color w:val="0563C1"/>
                  <w:u w:val="single"/>
                  <w:lang w:val="en-US"/>
                </w:rPr>
                <w:t>www.iecex.com</w:t>
              </w:r>
            </w:hyperlink>
          </w:p>
          <w:p w:rsidR="00EA615F" w:rsidRPr="00BE52B6" w:rsidRDefault="00EA615F" w:rsidP="00AD3EE5">
            <w:pPr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</w:pPr>
          </w:p>
          <w:p w:rsidR="00EA615F" w:rsidRPr="00BE52B6" w:rsidRDefault="00EA615F" w:rsidP="00AD3EE5">
            <w:pPr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</w:pPr>
          </w:p>
        </w:tc>
        <w:tc>
          <w:tcPr>
            <w:tcW w:w="49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  <w:t>ExTAG Secretary</w:t>
            </w:r>
          </w:p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  <w:t>Mr Julien Gauthier</w:t>
            </w:r>
          </w:p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en-US"/>
              </w:rPr>
              <w:t>LCIE S.A.</w:t>
            </w:r>
          </w:p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lang w:val="fr-FR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fr-FR"/>
              </w:rPr>
              <w:t>33 Avenue du General Leclerc</w:t>
            </w:r>
          </w:p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lang w:val="fr-FR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fr-FR"/>
              </w:rPr>
              <w:t>92260 Fontenay-aux-Roses</w:t>
            </w:r>
          </w:p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u w:val="single"/>
                <w:lang w:val="fr-FR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fr-FR"/>
              </w:rPr>
              <w:t>FRANCE</w:t>
            </w:r>
            <w:r w:rsidRPr="00BE52B6">
              <w:rPr>
                <w:rFonts w:ascii="Arial" w:eastAsia="Calibri" w:hAnsi="Arial" w:cs="Arial"/>
                <w:b/>
                <w:bCs/>
                <w:color w:val="0000FF"/>
                <w:u w:val="single"/>
                <w:lang w:val="fr-FR"/>
              </w:rPr>
              <w:t xml:space="preserve">  </w:t>
            </w:r>
          </w:p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lang w:val="fr-FR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fr-FR"/>
              </w:rPr>
              <w:t>Tel: +33 1 40 95 55 26</w:t>
            </w:r>
          </w:p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lang w:val="fr-FR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fr-FR"/>
              </w:rPr>
              <w:t>Fax: +33 1 40 95 89 37</w:t>
            </w:r>
          </w:p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lang w:val="fr-FR"/>
              </w:rPr>
            </w:pPr>
            <w:r w:rsidRPr="00BE52B6">
              <w:rPr>
                <w:rFonts w:ascii="Arial" w:eastAsia="Calibri" w:hAnsi="Arial" w:cs="Arial"/>
                <w:b/>
                <w:bCs/>
                <w:color w:val="0000FF"/>
                <w:lang w:val="fr-FR"/>
              </w:rPr>
              <w:t xml:space="preserve">Email : </w:t>
            </w:r>
            <w:hyperlink r:id="rId8" w:history="1">
              <w:r w:rsidRPr="00BE52B6">
                <w:rPr>
                  <w:rFonts w:ascii="Arial" w:eastAsia="Calibri" w:hAnsi="Arial" w:cs="Arial"/>
                  <w:b/>
                  <w:bCs/>
                  <w:color w:val="0000FF"/>
                  <w:lang w:val="fr-FR"/>
                </w:rPr>
                <w:t>julien.gauthier@fr.bureauveritas.com</w:t>
              </w:r>
            </w:hyperlink>
          </w:p>
          <w:p w:rsidR="00EA615F" w:rsidRPr="00BE52B6" w:rsidRDefault="00EA615F" w:rsidP="00AD3EE5">
            <w:pPr>
              <w:tabs>
                <w:tab w:val="center" w:pos="4680"/>
                <w:tab w:val="right" w:pos="9360"/>
              </w:tabs>
              <w:rPr>
                <w:rFonts w:ascii="Arial" w:eastAsia="Calibri" w:hAnsi="Arial" w:cs="Arial"/>
                <w:b/>
                <w:bCs/>
                <w:color w:val="0000FF"/>
                <w:u w:val="single"/>
                <w:lang w:val="fr-FR"/>
              </w:rPr>
            </w:pPr>
          </w:p>
        </w:tc>
      </w:tr>
    </w:tbl>
    <w:p w:rsidR="00EA615F" w:rsidRDefault="00EA615F" w:rsidP="00EA615F">
      <w:pPr>
        <w:widowControl w:val="0"/>
        <w:snapToGrid w:val="0"/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</w:pPr>
    </w:p>
    <w:p w:rsidR="00EA615F" w:rsidRDefault="00EA615F" w:rsidP="00EA615F">
      <w:pPr>
        <w:widowControl w:val="0"/>
        <w:snapToGrid w:val="0"/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</w:pPr>
    </w:p>
    <w:p w:rsidR="00EA615F" w:rsidRDefault="00EA615F" w:rsidP="00EA615F">
      <w:pPr>
        <w:widowControl w:val="0"/>
        <w:snapToGrid w:val="0"/>
        <w:jc w:val="center"/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</w:pPr>
    </w:p>
    <w:p w:rsidR="00FD1C8C" w:rsidRDefault="00FD1C8C" w:rsidP="00473B86">
      <w:pPr>
        <w:widowControl w:val="0"/>
        <w:snapToGrid w:val="0"/>
        <w:jc w:val="center"/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  <w:sectPr w:rsidR="00FD1C8C" w:rsidSect="00FD1C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884" w:type="dxa"/>
        <w:tblInd w:w="-15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76"/>
        <w:gridCol w:w="993"/>
        <w:gridCol w:w="1275"/>
        <w:gridCol w:w="1134"/>
        <w:gridCol w:w="3969"/>
        <w:gridCol w:w="3261"/>
        <w:gridCol w:w="2976"/>
      </w:tblGrid>
      <w:tr w:rsidR="00DE0314" w:rsidRPr="00C61DFD" w:rsidTr="00BD2FD8">
        <w:trPr>
          <w:trHeight w:val="20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ExCB/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55739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314" w:rsidRPr="00C61DFD" w:rsidRDefault="00FD1C8C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A615F">
              <w:rPr>
                <w:rFonts w:ascii="Arial" w:hAnsi="Arial" w:cs="Arial"/>
                <w:b/>
                <w:bCs/>
                <w:color w:val="FF0000"/>
                <w:spacing w:val="8"/>
                <w:sz w:val="20"/>
                <w:szCs w:val="20"/>
                <w:lang w:val="en-US" w:eastAsia="zh-CN"/>
              </w:rPr>
              <w:t>The formal discussion within IECEx in Cannes followed by  a final technical discussion within IEC TC 31 MT60079-28 in Busan</w:t>
            </w:r>
          </w:p>
        </w:tc>
      </w:tr>
      <w:tr w:rsidR="00E845B2" w:rsidRPr="00C61DFD" w:rsidTr="00BD2FD8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5B2" w:rsidRDefault="00FD1C8C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ExTC</w:t>
            </w:r>
          </w:p>
          <w:p w:rsidR="00E845B2" w:rsidRDefault="00E845B2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5B2" w:rsidRPr="00C61DFD" w:rsidRDefault="00E845B2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5B2" w:rsidRPr="00C61DFD" w:rsidRDefault="00E845B2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5B2" w:rsidRPr="00C61DFD" w:rsidRDefault="00E845B2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5B2" w:rsidRPr="008A1576" w:rsidRDefault="00E845B2" w:rsidP="00E845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A1576">
              <w:rPr>
                <w:rFonts w:ascii="Arial" w:hAnsi="Arial" w:cs="Arial"/>
                <w:b/>
                <w:sz w:val="20"/>
                <w:szCs w:val="20"/>
              </w:rPr>
              <w:t>Question:</w:t>
            </w:r>
          </w:p>
          <w:p w:rsidR="00E845B2" w:rsidRPr="008A1576" w:rsidRDefault="00E845B2" w:rsidP="00E845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1576">
              <w:rPr>
                <w:rFonts w:ascii="Arial" w:hAnsi="Arial" w:cs="Arial"/>
                <w:sz w:val="20"/>
                <w:szCs w:val="20"/>
              </w:rPr>
              <w:t>When should the requirements of IEC 60079-28 be applied to Ex Equipment, including Equipment assemblies and Ex Components that include an optical</w:t>
            </w:r>
            <w:r w:rsidRPr="003C6CF9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C6CF9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ignition </w:t>
            </w:r>
            <w:r w:rsidRPr="003C6CF9">
              <w:rPr>
                <w:rFonts w:ascii="Arial" w:hAnsi="Arial" w:cs="Arial"/>
                <w:sz w:val="20"/>
                <w:szCs w:val="20"/>
                <w:highlight w:val="yellow"/>
              </w:rPr>
              <w:t>radiation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576">
              <w:rPr>
                <w:rFonts w:ascii="Arial" w:hAnsi="Arial" w:cs="Arial"/>
                <w:sz w:val="20"/>
                <w:szCs w:val="20"/>
              </w:rPr>
              <w:t>source?</w:t>
            </w:r>
          </w:p>
          <w:p w:rsidR="00E845B2" w:rsidRDefault="00E845B2" w:rsidP="00E845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45B2" w:rsidRPr="008A1576" w:rsidRDefault="00E845B2" w:rsidP="00E845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A1576">
              <w:rPr>
                <w:rFonts w:ascii="Arial" w:hAnsi="Arial" w:cs="Arial"/>
                <w:b/>
                <w:sz w:val="20"/>
                <w:szCs w:val="20"/>
              </w:rPr>
              <w:t>Answer:</w:t>
            </w:r>
          </w:p>
          <w:p w:rsidR="00E845B2" w:rsidRPr="008A1576" w:rsidRDefault="00E845B2" w:rsidP="00E845B2">
            <w:pPr>
              <w:pStyle w:val="Default"/>
              <w:rPr>
                <w:color w:val="auto"/>
                <w:sz w:val="20"/>
                <w:szCs w:val="20"/>
              </w:rPr>
            </w:pPr>
            <w:r w:rsidRPr="008A1576">
              <w:rPr>
                <w:color w:val="auto"/>
                <w:sz w:val="20"/>
                <w:szCs w:val="20"/>
              </w:rPr>
              <w:t xml:space="preserve">The risk of ignition due to optical radiation </w:t>
            </w:r>
            <w:r w:rsidRPr="003C6CF9">
              <w:rPr>
                <w:strike/>
                <w:color w:val="auto"/>
                <w:sz w:val="20"/>
                <w:szCs w:val="20"/>
                <w:highlight w:val="yellow"/>
              </w:rPr>
              <w:t>hazards</w:t>
            </w:r>
            <w:r w:rsidRPr="008A1576">
              <w:rPr>
                <w:color w:val="auto"/>
                <w:sz w:val="20"/>
                <w:szCs w:val="20"/>
              </w:rPr>
              <w:t xml:space="preserve"> shall always be addressed.</w:t>
            </w:r>
          </w:p>
          <w:p w:rsidR="00E845B2" w:rsidRDefault="00E845B2" w:rsidP="00E845B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845B2" w:rsidRPr="008A1576" w:rsidRDefault="00E845B2" w:rsidP="00E845B2">
            <w:pPr>
              <w:pStyle w:val="Default"/>
              <w:rPr>
                <w:color w:val="auto"/>
                <w:sz w:val="20"/>
                <w:szCs w:val="20"/>
              </w:rPr>
            </w:pPr>
            <w:r w:rsidRPr="008A1576">
              <w:rPr>
                <w:color w:val="auto"/>
                <w:sz w:val="20"/>
                <w:szCs w:val="20"/>
              </w:rPr>
              <w:t xml:space="preserve">In noting current work within IEC/TC 31 concerning both IEC 60079-0 and IEC 60079-28, ExCBs and ExTLs are required to address all optical radiation </w:t>
            </w:r>
            <w:r w:rsidRPr="003C6CF9">
              <w:rPr>
                <w:strike/>
                <w:color w:val="auto"/>
                <w:sz w:val="20"/>
                <w:szCs w:val="20"/>
                <w:highlight w:val="yellow"/>
              </w:rPr>
              <w:t>hazards</w:t>
            </w:r>
            <w:r w:rsidRPr="008A1576">
              <w:rPr>
                <w:color w:val="auto"/>
                <w:sz w:val="20"/>
                <w:szCs w:val="20"/>
              </w:rPr>
              <w:t xml:space="preserve"> in accordance with the requirements of Clause 6.6.4 of IEC 60079-0:2017 and Clause 6.6.2 of IEC 60079-0:2011 and IEC 60079-0:2007.</w:t>
            </w:r>
          </w:p>
          <w:p w:rsidR="00E845B2" w:rsidRDefault="00E845B2" w:rsidP="00E845B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845B2" w:rsidRDefault="00E845B2" w:rsidP="00E845B2">
            <w:pPr>
              <w:pStyle w:val="Default"/>
              <w:rPr>
                <w:color w:val="auto"/>
                <w:sz w:val="20"/>
                <w:szCs w:val="20"/>
              </w:rPr>
            </w:pPr>
            <w:r w:rsidRPr="008A1576">
              <w:rPr>
                <w:color w:val="auto"/>
                <w:sz w:val="20"/>
                <w:szCs w:val="20"/>
              </w:rPr>
              <w:t xml:space="preserve">While this Decision Sheet cannot change the requirements of these standards, it can provide guidance as to the intent.  The intent of IEC 60079-0 is not to expand or reduce the Scope of IEC 60079-28. The intent is to direct the ExCB and ExTL to IEC 60079-28 for application of IEC 60079-28 as it is written.   </w:t>
            </w:r>
          </w:p>
          <w:p w:rsidR="00B153AC" w:rsidRDefault="00B153AC" w:rsidP="00E845B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153AC" w:rsidRPr="008A1576" w:rsidRDefault="00B153AC" w:rsidP="00E845B2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845B2" w:rsidRDefault="00E845B2" w:rsidP="00E845B2">
            <w:pPr>
              <w:pStyle w:val="BodyText2"/>
              <w:spacing w:after="0"/>
              <w:ind w:left="0" w:firstLine="0"/>
              <w:rPr>
                <w:rFonts w:cs="Arial"/>
                <w:b/>
                <w:bCs/>
                <w:color w:val="auto"/>
                <w:szCs w:val="20"/>
              </w:rPr>
            </w:pPr>
          </w:p>
          <w:p w:rsidR="00E845B2" w:rsidRPr="008A1576" w:rsidRDefault="00E845B2" w:rsidP="00E845B2">
            <w:pPr>
              <w:pStyle w:val="BodyText2"/>
              <w:spacing w:after="0"/>
              <w:ind w:left="0" w:firstLine="0"/>
              <w:rPr>
                <w:rFonts w:cs="Arial"/>
                <w:b/>
                <w:bCs/>
                <w:color w:val="auto"/>
                <w:szCs w:val="20"/>
              </w:rPr>
            </w:pPr>
            <w:r w:rsidRPr="008A1576">
              <w:rPr>
                <w:rFonts w:cs="Arial"/>
                <w:b/>
                <w:bCs/>
                <w:color w:val="auto"/>
                <w:szCs w:val="20"/>
              </w:rPr>
              <w:t>Additional information:</w:t>
            </w:r>
          </w:p>
          <w:p w:rsidR="00E845B2" w:rsidRPr="008A1576" w:rsidRDefault="00E845B2" w:rsidP="00E845B2">
            <w:pPr>
              <w:pStyle w:val="BodyText2"/>
              <w:spacing w:after="0"/>
              <w:ind w:left="0" w:firstLine="0"/>
              <w:rPr>
                <w:rFonts w:cs="Arial"/>
                <w:bCs/>
                <w:color w:val="auto"/>
                <w:szCs w:val="20"/>
              </w:rPr>
            </w:pPr>
            <w:r w:rsidRPr="008A1576">
              <w:rPr>
                <w:rFonts w:cs="Arial"/>
                <w:bCs/>
                <w:color w:val="auto"/>
                <w:szCs w:val="20"/>
              </w:rPr>
              <w:t xml:space="preserve">ExTLs and ExCBs do not need to have IEC 60079-28 in their IECEx Scope in order to evaluate compliance with </w:t>
            </w:r>
            <w:r w:rsidRPr="005379D9">
              <w:rPr>
                <w:color w:val="auto"/>
                <w:szCs w:val="20"/>
              </w:rPr>
              <w:t xml:space="preserve">Clause 6.6.4 of IEC 60079-0:2017 and </w:t>
            </w:r>
            <w:r w:rsidRPr="008A1576">
              <w:rPr>
                <w:rFonts w:cs="Arial"/>
                <w:bCs/>
                <w:color w:val="auto"/>
                <w:szCs w:val="20"/>
              </w:rPr>
              <w:t xml:space="preserve">Clause 6.6.2 of IEC 60079-0:2011 </w:t>
            </w:r>
            <w:r>
              <w:rPr>
                <w:rFonts w:cs="Arial"/>
                <w:bCs/>
                <w:color w:val="auto"/>
                <w:szCs w:val="20"/>
              </w:rPr>
              <w:t xml:space="preserve">and </w:t>
            </w:r>
            <w:r w:rsidRPr="008A1576">
              <w:rPr>
                <w:rFonts w:cs="Arial"/>
                <w:bCs/>
                <w:color w:val="auto"/>
                <w:szCs w:val="20"/>
              </w:rPr>
              <w:t>IEC 60079-0:2007, as applicable, but</w:t>
            </w:r>
            <w:r>
              <w:rPr>
                <w:rFonts w:cs="Arial"/>
                <w:bCs/>
                <w:color w:val="auto"/>
                <w:szCs w:val="20"/>
              </w:rPr>
              <w:t xml:space="preserve"> </w:t>
            </w:r>
            <w:r w:rsidRPr="003C6CF9">
              <w:rPr>
                <w:rFonts w:cs="Arial"/>
                <w:bCs/>
                <w:color w:val="auto"/>
                <w:szCs w:val="20"/>
                <w:highlight w:val="yellow"/>
              </w:rPr>
              <w:t>must have an understanding of the methods of assessing optical radiation, or otherwise</w:t>
            </w:r>
            <w:r w:rsidRPr="003C6CF9">
              <w:rPr>
                <w:rFonts w:cs="Arial"/>
                <w:bCs/>
                <w:strike/>
                <w:color w:val="auto"/>
                <w:szCs w:val="20"/>
              </w:rPr>
              <w:t xml:space="preserve"> </w:t>
            </w:r>
            <w:r w:rsidRPr="003C6CF9">
              <w:rPr>
                <w:rFonts w:cs="Arial"/>
                <w:bCs/>
                <w:strike/>
                <w:color w:val="auto"/>
                <w:szCs w:val="20"/>
                <w:highlight w:val="yellow"/>
              </w:rPr>
              <w:t>may</w:t>
            </w:r>
            <w:r w:rsidRPr="008A1576">
              <w:rPr>
                <w:rFonts w:cs="Arial"/>
                <w:bCs/>
                <w:color w:val="auto"/>
                <w:szCs w:val="20"/>
              </w:rPr>
              <w:t xml:space="preserve"> subcontract to another ExTL </w:t>
            </w:r>
            <w:r>
              <w:rPr>
                <w:rFonts w:cs="Arial"/>
                <w:bCs/>
                <w:color w:val="auto"/>
                <w:szCs w:val="20"/>
              </w:rPr>
              <w:t>(</w:t>
            </w:r>
            <w:r w:rsidRPr="008A1576">
              <w:rPr>
                <w:rFonts w:cs="Arial"/>
                <w:bCs/>
                <w:color w:val="auto"/>
                <w:szCs w:val="20"/>
              </w:rPr>
              <w:t>or other Test Laboratory following evaluation of that laboratory using the ExTL’s own internal Assessment of Subcontractors procedures</w:t>
            </w:r>
            <w:r>
              <w:rPr>
                <w:rFonts w:cs="Arial"/>
                <w:bCs/>
                <w:color w:val="auto"/>
                <w:szCs w:val="20"/>
              </w:rPr>
              <w:t>)</w:t>
            </w:r>
            <w:r w:rsidRPr="008A1576">
              <w:rPr>
                <w:rFonts w:cs="Arial"/>
                <w:bCs/>
                <w:color w:val="auto"/>
                <w:szCs w:val="20"/>
              </w:rPr>
              <w:t>.</w:t>
            </w:r>
          </w:p>
          <w:p w:rsidR="00E845B2" w:rsidRPr="008A1576" w:rsidRDefault="00E845B2" w:rsidP="00E845B2">
            <w:pPr>
              <w:pStyle w:val="BodyText2"/>
              <w:spacing w:after="0"/>
              <w:ind w:left="0" w:firstLine="0"/>
              <w:rPr>
                <w:rFonts w:cs="Arial"/>
                <w:bCs/>
                <w:color w:val="auto"/>
                <w:szCs w:val="20"/>
              </w:rPr>
            </w:pPr>
          </w:p>
          <w:p w:rsidR="00E845B2" w:rsidRDefault="00E845B2" w:rsidP="00E845B2">
            <w:pPr>
              <w:pStyle w:val="BodyText2"/>
              <w:spacing w:after="0"/>
              <w:ind w:left="0" w:firstLine="0"/>
              <w:rPr>
                <w:rFonts w:cs="Arial"/>
                <w:bCs/>
                <w:color w:val="auto"/>
                <w:szCs w:val="20"/>
              </w:rPr>
            </w:pPr>
            <w:r>
              <w:rPr>
                <w:rFonts w:cs="Arial"/>
                <w:bCs/>
                <w:color w:val="auto"/>
                <w:szCs w:val="20"/>
              </w:rPr>
              <w:t>Note: E</w:t>
            </w:r>
            <w:r w:rsidRPr="008A1576">
              <w:rPr>
                <w:rFonts w:cs="Arial"/>
                <w:bCs/>
                <w:color w:val="auto"/>
                <w:szCs w:val="20"/>
              </w:rPr>
              <w:t>ither output power or irradiance criteria from IEC 60079-28</w:t>
            </w:r>
            <w:r>
              <w:rPr>
                <w:rFonts w:cs="Arial"/>
                <w:bCs/>
                <w:color w:val="auto"/>
                <w:szCs w:val="20"/>
              </w:rPr>
              <w:t xml:space="preserve">, </w:t>
            </w:r>
            <w:r w:rsidRPr="003C6CF9">
              <w:rPr>
                <w:rFonts w:cs="Arial"/>
                <w:bCs/>
                <w:color w:val="auto"/>
                <w:szCs w:val="20"/>
                <w:highlight w:val="yellow"/>
              </w:rPr>
              <w:t>including the application</w:t>
            </w:r>
            <w:r>
              <w:rPr>
                <w:rFonts w:cs="Arial"/>
                <w:bCs/>
                <w:color w:val="auto"/>
                <w:szCs w:val="20"/>
                <w:highlight w:val="yellow"/>
              </w:rPr>
              <w:t xml:space="preserve"> of applicable faults</w:t>
            </w:r>
            <w:r w:rsidRPr="003C6CF9">
              <w:rPr>
                <w:rFonts w:cs="Arial"/>
                <w:bCs/>
                <w:color w:val="auto"/>
                <w:szCs w:val="20"/>
                <w:highlight w:val="yellow"/>
              </w:rPr>
              <w:t>,</w:t>
            </w:r>
            <w:r w:rsidRPr="008A1576">
              <w:rPr>
                <w:rFonts w:cs="Arial"/>
                <w:bCs/>
                <w:color w:val="auto"/>
                <w:szCs w:val="20"/>
              </w:rPr>
              <w:t xml:space="preserve"> can be used, and it is </w:t>
            </w:r>
            <w:r w:rsidRPr="003C6CF9">
              <w:rPr>
                <w:rFonts w:cs="Arial"/>
                <w:bCs/>
                <w:color w:val="auto"/>
                <w:szCs w:val="20"/>
                <w:highlight w:val="yellow"/>
              </w:rPr>
              <w:t>common to apply the output irradiance criteria instead of the output power criteria</w:t>
            </w:r>
            <w:r w:rsidRPr="003C6CF9">
              <w:rPr>
                <w:rFonts w:cs="Arial"/>
                <w:bCs/>
                <w:strike/>
                <w:color w:val="auto"/>
                <w:szCs w:val="20"/>
              </w:rPr>
              <w:t xml:space="preserve"> </w:t>
            </w:r>
            <w:r w:rsidRPr="003C6CF9">
              <w:rPr>
                <w:rFonts w:cs="Arial"/>
                <w:bCs/>
                <w:strike/>
                <w:color w:val="auto"/>
                <w:szCs w:val="20"/>
                <w:highlight w:val="yellow"/>
              </w:rPr>
              <w:t>not uncommon to not comply with the output power criteria, but comply with the irradiance criteria</w:t>
            </w:r>
            <w:r w:rsidRPr="008A1576">
              <w:rPr>
                <w:rFonts w:cs="Arial"/>
                <w:bCs/>
                <w:color w:val="auto"/>
                <w:szCs w:val="20"/>
              </w:rPr>
              <w:t>.</w:t>
            </w:r>
            <w:r>
              <w:rPr>
                <w:rFonts w:cs="Arial"/>
                <w:bCs/>
                <w:color w:val="auto"/>
                <w:szCs w:val="20"/>
              </w:rPr>
              <w:t xml:space="preserve"> Also, the difference between a </w:t>
            </w:r>
            <w:r w:rsidRPr="003C6CF9">
              <w:rPr>
                <w:rFonts w:cs="Arial"/>
                <w:bCs/>
                <w:strike/>
                <w:color w:val="auto"/>
                <w:szCs w:val="20"/>
                <w:highlight w:val="yellow"/>
              </w:rPr>
              <w:t>laser</w:t>
            </w:r>
            <w:r>
              <w:rPr>
                <w:rFonts w:cs="Arial"/>
                <w:bCs/>
                <w:color w:val="auto"/>
                <w:szCs w:val="20"/>
              </w:rPr>
              <w:t xml:space="preserve"> </w:t>
            </w:r>
            <w:r w:rsidRPr="00947F70">
              <w:rPr>
                <w:rFonts w:cs="Arial"/>
                <w:bCs/>
                <w:color w:val="auto"/>
                <w:szCs w:val="20"/>
                <w:highlight w:val="yellow"/>
              </w:rPr>
              <w:t>photo diode based</w:t>
            </w:r>
            <w:r>
              <w:rPr>
                <w:rFonts w:cs="Arial"/>
                <w:bCs/>
                <w:color w:val="auto"/>
                <w:szCs w:val="20"/>
              </w:rPr>
              <w:t xml:space="preserve"> power meter with narrow spectrum response </w:t>
            </w:r>
            <w:r w:rsidRPr="00947F70">
              <w:rPr>
                <w:rFonts w:cs="Arial"/>
                <w:bCs/>
                <w:strike/>
                <w:color w:val="auto"/>
                <w:szCs w:val="20"/>
              </w:rPr>
              <w:t>(such as an Ophir power meter)</w:t>
            </w:r>
            <w:r>
              <w:rPr>
                <w:rFonts w:cs="Arial"/>
                <w:bCs/>
                <w:color w:val="auto"/>
                <w:szCs w:val="20"/>
              </w:rPr>
              <w:t xml:space="preserve"> versus </w:t>
            </w:r>
            <w:r w:rsidRPr="003C6CF9">
              <w:rPr>
                <w:rFonts w:cs="Arial"/>
                <w:bCs/>
                <w:color w:val="auto"/>
                <w:szCs w:val="20"/>
                <w:highlight w:val="yellow"/>
              </w:rPr>
              <w:t>a thermopile sensor</w:t>
            </w:r>
            <w:r>
              <w:rPr>
                <w:rFonts w:cs="Arial"/>
                <w:bCs/>
                <w:color w:val="auto"/>
                <w:szCs w:val="20"/>
                <w:highlight w:val="yellow"/>
              </w:rPr>
              <w:t xml:space="preserve"> based power meter</w:t>
            </w:r>
            <w:r w:rsidRPr="003C6CF9">
              <w:rPr>
                <w:rFonts w:cs="Arial"/>
                <w:bCs/>
                <w:color w:val="auto"/>
                <w:szCs w:val="20"/>
                <w:highlight w:val="yellow"/>
              </w:rPr>
              <w:t xml:space="preserve"> with</w:t>
            </w:r>
            <w:r>
              <w:rPr>
                <w:rFonts w:cs="Arial"/>
                <w:bCs/>
                <w:color w:val="auto"/>
                <w:szCs w:val="20"/>
              </w:rPr>
              <w:t xml:space="preserve"> a flat broad spectrum response </w:t>
            </w:r>
            <w:r w:rsidRPr="00947F70">
              <w:rPr>
                <w:rFonts w:cs="Arial"/>
                <w:bCs/>
                <w:strike/>
                <w:color w:val="auto"/>
                <w:szCs w:val="20"/>
              </w:rPr>
              <w:t>(such as a Newport power meter)</w:t>
            </w:r>
            <w:r>
              <w:rPr>
                <w:rFonts w:cs="Arial"/>
                <w:bCs/>
                <w:color w:val="auto"/>
                <w:szCs w:val="20"/>
              </w:rPr>
              <w:t xml:space="preserve"> needs to </w:t>
            </w:r>
            <w:r>
              <w:rPr>
                <w:rFonts w:cs="Arial"/>
                <w:bCs/>
                <w:color w:val="auto"/>
                <w:szCs w:val="20"/>
              </w:rPr>
              <w:lastRenderedPageBreak/>
              <w:t xml:space="preserve">be understood, with the </w:t>
            </w:r>
            <w:r w:rsidRPr="003C6CF9">
              <w:rPr>
                <w:rFonts w:cs="Arial"/>
                <w:bCs/>
                <w:color w:val="auto"/>
                <w:szCs w:val="20"/>
                <w:highlight w:val="yellow"/>
              </w:rPr>
              <w:t>intention to measure all radiation in the 380nm to 10,000nm</w:t>
            </w:r>
            <w:r>
              <w:rPr>
                <w:rFonts w:cs="Arial"/>
                <w:bCs/>
                <w:color w:val="auto"/>
                <w:szCs w:val="20"/>
              </w:rPr>
              <w:t xml:space="preserve"> </w:t>
            </w:r>
            <w:r w:rsidRPr="003C6CF9">
              <w:rPr>
                <w:rFonts w:cs="Arial"/>
                <w:bCs/>
                <w:strike/>
                <w:color w:val="auto"/>
                <w:szCs w:val="20"/>
                <w:highlight w:val="yellow"/>
              </w:rPr>
              <w:t>flat broad spectrum response meters being the ones to use for optical power measurements.</w:t>
            </w:r>
            <w:r>
              <w:rPr>
                <w:rFonts w:cs="Arial"/>
                <w:bCs/>
                <w:color w:val="auto"/>
                <w:szCs w:val="20"/>
              </w:rPr>
              <w:t xml:space="preserve"> </w:t>
            </w:r>
          </w:p>
          <w:p w:rsidR="00E845B2" w:rsidRDefault="00E845B2" w:rsidP="00F2199A">
            <w:pPr>
              <w:widowControl w:val="0"/>
              <w:snapToGrid w:val="0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5B2" w:rsidRPr="008A1576" w:rsidRDefault="00E845B2" w:rsidP="00BD7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Highlighted in yellow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5B2" w:rsidRPr="00C61DFD" w:rsidRDefault="00E845B2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DE0314" w:rsidRPr="00C61DFD" w:rsidTr="00BD2FD8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Default="00BD7FB7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FMG</w:t>
            </w:r>
          </w:p>
          <w:p w:rsidR="00BD2FD8" w:rsidRDefault="00BD2FD8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BD7FB7" w:rsidRDefault="00F2199A" w:rsidP="00F2199A">
            <w:pPr>
              <w:widowControl w:val="0"/>
              <w:snapToGrid w:val="0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The DS</w:t>
            </w:r>
            <w:r w:rsidR="00BD7FB7" w:rsidRPr="00BD7FB7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need</w:t>
            </w:r>
            <w:r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s</w:t>
            </w:r>
            <w:r w:rsidR="00BD7FB7" w:rsidRPr="00BD7FB7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to </w:t>
            </w:r>
            <w:r w:rsidR="00BD7FB7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clarify that </w:t>
            </w:r>
            <w:r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the intent</w:t>
            </w:r>
            <w:r w:rsidR="00BD7FB7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is to </w:t>
            </w:r>
            <w:r w:rsidR="00BD7FB7" w:rsidRPr="00BD7FB7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address the </w:t>
            </w:r>
            <w:r w:rsidR="00BD7FB7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optical ignition </w:t>
            </w:r>
            <w:r w:rsidR="00BD7FB7" w:rsidRPr="00BD7FB7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hazards produced </w:t>
            </w:r>
            <w:r w:rsidR="00BD7FB7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directly </w:t>
            </w:r>
            <w:r w:rsidR="00BD7FB7" w:rsidRPr="00BD7FB7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by the equipment. Not the case where the equipment becomes an ignition source via external means like sunlight.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FB7" w:rsidRPr="008A1576" w:rsidRDefault="00BD7FB7" w:rsidP="00BD7F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A1576">
              <w:rPr>
                <w:rFonts w:ascii="Arial" w:hAnsi="Arial" w:cs="Arial"/>
                <w:b/>
                <w:sz w:val="20"/>
                <w:szCs w:val="20"/>
              </w:rPr>
              <w:t>Answer:</w:t>
            </w:r>
          </w:p>
          <w:p w:rsidR="00DE0314" w:rsidRDefault="00BD7FB7" w:rsidP="00CC3E3D">
            <w:pPr>
              <w:pStyle w:val="Default"/>
              <w:rPr>
                <w:color w:val="auto"/>
                <w:sz w:val="20"/>
                <w:szCs w:val="20"/>
              </w:rPr>
            </w:pPr>
            <w:r w:rsidRPr="008A1576">
              <w:rPr>
                <w:color w:val="auto"/>
                <w:sz w:val="20"/>
                <w:szCs w:val="20"/>
              </w:rPr>
              <w:t xml:space="preserve">The risk of ignition due to optical radiation hazards </w:t>
            </w:r>
            <w:r w:rsidRPr="00BD7FB7">
              <w:rPr>
                <w:color w:val="auto"/>
                <w:sz w:val="20"/>
                <w:szCs w:val="20"/>
                <w:u w:val="single"/>
              </w:rPr>
              <w:t xml:space="preserve">from </w:t>
            </w:r>
            <w:r w:rsidRPr="00BD7FB7">
              <w:rPr>
                <w:sz w:val="20"/>
                <w:szCs w:val="20"/>
                <w:u w:val="single"/>
              </w:rPr>
              <w:t>Ex Equipment, including Equipment assemblies and Ex Components</w:t>
            </w:r>
            <w:r w:rsidRPr="00BD7FB7">
              <w:rPr>
                <w:color w:val="auto"/>
                <w:sz w:val="20"/>
                <w:szCs w:val="20"/>
                <w:u w:val="single"/>
              </w:rPr>
              <w:t xml:space="preserve"> </w:t>
            </w:r>
            <w:r w:rsidRPr="008A1576">
              <w:rPr>
                <w:color w:val="auto"/>
                <w:sz w:val="20"/>
                <w:szCs w:val="20"/>
              </w:rPr>
              <w:t>shall always be addressed.</w:t>
            </w:r>
          </w:p>
          <w:p w:rsidR="00BD2FD8" w:rsidRPr="00C61DFD" w:rsidRDefault="00BD2FD8" w:rsidP="00CC3E3D">
            <w:pPr>
              <w:pStyle w:val="Default"/>
              <w:rPr>
                <w:b/>
                <w:bCs/>
                <w:spacing w:val="8"/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DE0314" w:rsidRPr="00C61DFD" w:rsidTr="00BD2FD8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Default="0064680C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FMG</w:t>
            </w:r>
          </w:p>
          <w:p w:rsidR="00BD2FD8" w:rsidRDefault="00BD2FD8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64680C" w:rsidRDefault="0056496D" w:rsidP="008E5FAE">
            <w:pPr>
              <w:widowControl w:val="0"/>
              <w:snapToGrid w:val="0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Contrary to what is stated in</w:t>
            </w:r>
            <w:r w:rsidR="0064680C" w:rsidRPr="0064680C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the first paragraph o</w:t>
            </w:r>
            <w:r w:rsidR="0064680C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f</w:t>
            </w:r>
            <w:r w:rsidR="0064680C" w:rsidRPr="0064680C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“Additional Information”, </w:t>
            </w:r>
            <w:r w:rsidR="008E5FAE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we do not believe</w:t>
            </w:r>
            <w:r w:rsidR="0064680C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that an ExCB c</w:t>
            </w:r>
            <w:r w:rsidR="008E5FAE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an</w:t>
            </w:r>
            <w:r w:rsidR="0064680C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include assessment to 60079-28, even if it using another ExTL as a subcontractor or as a provider of a partial ExTR</w:t>
            </w:r>
            <w:r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,</w:t>
            </w:r>
            <w:r w:rsidR="0064680C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if it was not within the ExCB</w:t>
            </w:r>
            <w:r w:rsidR="008E5FAE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’s</w:t>
            </w:r>
            <w:r w:rsidR="0064680C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</w:t>
            </w:r>
            <w:r w:rsidR="008E5FAE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accepted </w:t>
            </w:r>
            <w:r w:rsidR="0064680C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scope.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Default="0064680C" w:rsidP="0064680C">
            <w:pPr>
              <w:widowControl w:val="0"/>
              <w:snapToGrid w:val="0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64680C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Clarify that this only applies to situations where the equipment is </w:t>
            </w:r>
            <w:r w:rsidRPr="008E5FAE">
              <w:rPr>
                <w:rFonts w:ascii="Arial" w:hAnsi="Arial" w:cs="Arial"/>
                <w:bCs/>
                <w:spacing w:val="8"/>
                <w:sz w:val="20"/>
                <w:szCs w:val="20"/>
                <w:u w:val="single"/>
                <w:lang w:val="en-US" w:eastAsia="zh-CN"/>
              </w:rPr>
              <w:t>outside</w:t>
            </w:r>
            <w:r w:rsidRPr="0064680C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the scope of 60079-28</w:t>
            </w:r>
            <w:r w:rsidR="00F2199A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, in accordance with one of the </w:t>
            </w:r>
            <w:r w:rsidR="00CC3E3D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exceptions</w:t>
            </w:r>
            <w:r w:rsidRPr="0064680C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.</w:t>
            </w:r>
            <w:r w:rsidR="008E5FAE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 xml:space="preserve"> If the equipment is within the scope of 60079-28, the assessment can only be done by an ExTL / ExCB with 60079-28 in their accepted scope.</w:t>
            </w:r>
          </w:p>
          <w:p w:rsidR="00F47103" w:rsidRPr="0064680C" w:rsidRDefault="00F47103" w:rsidP="0064680C">
            <w:pPr>
              <w:widowControl w:val="0"/>
              <w:snapToGrid w:val="0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314" w:rsidRPr="00C61DFD" w:rsidRDefault="00DE0314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67D6" w:rsidRPr="00C61DFD" w:rsidTr="00BD2FD8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eastAsia="zh-CN"/>
              </w:rPr>
              <w:t>INERIS</w:t>
            </w:r>
          </w:p>
          <w:p w:rsidR="00BD2FD8" w:rsidRPr="00162917" w:rsidRDefault="00BD2FD8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eastAsia="zh-CN"/>
              </w:rPr>
              <w:t>FR</w:t>
            </w:r>
          </w:p>
          <w:p w:rsidR="00E967D6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D8" w:rsidRDefault="00E967D6" w:rsidP="00FD1C8C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Subcontract a test to a Test Laboratory out of the IECEx scope seems not to be in accordance with IECEx rules</w:t>
            </w:r>
          </w:p>
          <w:p w:rsidR="00FD1C8C" w:rsidRDefault="00FD1C8C" w:rsidP="00FD1C8C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FD1C8C" w:rsidRPr="00C61DFD" w:rsidRDefault="00FD1C8C" w:rsidP="00FD1C8C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Remove the text in bracket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67D6" w:rsidRPr="00C61DFD" w:rsidTr="00BD2FD8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INERIS</w:t>
            </w:r>
          </w:p>
          <w:p w:rsidR="00BD2FD8" w:rsidRDefault="00BD2FD8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FR</w:t>
            </w:r>
          </w:p>
          <w:p w:rsidR="00E967D6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FD8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If ExCB do not have 60079-28 in its scope then the assessed product cannot bear “op is” marking. Nethertheless it should be clear in in the “Equipment” field of the certificate that assessment according -28 has been done.</w:t>
            </w:r>
          </w:p>
          <w:p w:rsidR="00E967D6" w:rsidRPr="00C61DFD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Add this text in DS 2017-003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67D6" w:rsidRPr="00C61DFD" w:rsidTr="00BD2FD8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INERIS</w:t>
            </w:r>
          </w:p>
          <w:p w:rsidR="00BD2FD8" w:rsidRDefault="00BD2FD8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FR</w:t>
            </w:r>
          </w:p>
          <w:p w:rsidR="00E967D6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Add the following sentence in the Decision sheet : “This DS applies to newly issued certificates and up issues of existing certificates”</w:t>
            </w:r>
          </w:p>
          <w:p w:rsidR="00BD2FD8" w:rsidRPr="00C61DFD" w:rsidRDefault="00BD2FD8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Add this text in DS 2017-003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F47103" w:rsidRPr="00C61DFD" w:rsidTr="00BD2FD8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103" w:rsidRPr="00BD2FD8" w:rsidRDefault="00F47103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FD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Kiwa</w:t>
            </w:r>
          </w:p>
          <w:p w:rsidR="00F47103" w:rsidRDefault="00F47103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FD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NL</w:t>
            </w:r>
          </w:p>
          <w:p w:rsidR="00BD2FD8" w:rsidRPr="00BD2FD8" w:rsidRDefault="00BD2FD8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03" w:rsidRPr="00C61DFD" w:rsidRDefault="00F47103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03" w:rsidRPr="00C61DFD" w:rsidRDefault="00F47103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03" w:rsidRDefault="00F47103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03" w:rsidRDefault="00F47103" w:rsidP="00BD2FD8">
            <w:pPr>
              <w:widowControl w:val="0"/>
              <w:snapToGrid w:val="0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Kiwa has no comments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03" w:rsidRPr="0064680C" w:rsidRDefault="00F47103" w:rsidP="0064680C">
            <w:pPr>
              <w:widowControl w:val="0"/>
              <w:snapToGrid w:val="0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03" w:rsidRPr="00C61DFD" w:rsidRDefault="00F47103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F47103" w:rsidRPr="00C61DFD" w:rsidTr="00BD2FD8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103" w:rsidRPr="00BD2FD8" w:rsidRDefault="00F47103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FD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NANIO/</w:t>
            </w:r>
          </w:p>
          <w:p w:rsidR="00F47103" w:rsidRPr="00BD2FD8" w:rsidRDefault="00F47103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FD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CCVE</w:t>
            </w:r>
          </w:p>
          <w:p w:rsidR="00F47103" w:rsidRPr="00BD2FD8" w:rsidRDefault="00F47103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FD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ExCB/ExTL</w:t>
            </w:r>
          </w:p>
          <w:p w:rsidR="00F47103" w:rsidRPr="00BD2FD8" w:rsidRDefault="00F47103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FD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RU</w:t>
            </w:r>
          </w:p>
          <w:p w:rsidR="00BD2FD8" w:rsidRPr="00BD2FD8" w:rsidRDefault="00BD2FD8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03" w:rsidRPr="00C61DFD" w:rsidRDefault="00F47103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03" w:rsidRPr="00C61DFD" w:rsidRDefault="00F47103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03" w:rsidRPr="00C61DFD" w:rsidRDefault="00F47103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Genaral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03" w:rsidRDefault="00F47103" w:rsidP="00BD2FD8">
            <w:pPr>
              <w:widowControl w:val="0"/>
              <w:snapToGrid w:val="0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We support this Decision Sheet without comment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03" w:rsidRPr="0064680C" w:rsidRDefault="00F47103" w:rsidP="0064680C">
            <w:pPr>
              <w:widowControl w:val="0"/>
              <w:snapToGrid w:val="0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03" w:rsidRPr="00C61DFD" w:rsidRDefault="00F47103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67D6" w:rsidRPr="00C61DFD" w:rsidTr="00BD2FD8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BD2FD8" w:rsidRDefault="00E967D6" w:rsidP="00BD2FD8">
            <w:pPr>
              <w:widowControl w:val="0"/>
              <w:snapToGrid w:val="0"/>
              <w:rPr>
                <w:rFonts w:ascii="Arial" w:eastAsiaTheme="minorEastAsia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BD2FD8">
              <w:rPr>
                <w:rFonts w:ascii="Arial" w:eastAsiaTheme="minorEastAsia" w:hAnsi="Arial" w:cs="Arial"/>
                <w:b/>
                <w:bCs/>
                <w:spacing w:val="8"/>
                <w:sz w:val="20"/>
                <w:szCs w:val="20"/>
                <w:lang w:eastAsia="zh-CN"/>
              </w:rPr>
              <w:t>NEPSI</w:t>
            </w:r>
          </w:p>
          <w:p w:rsidR="00E967D6" w:rsidRPr="00BD2FD8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BD2FD8">
              <w:rPr>
                <w:rFonts w:ascii="Arial" w:eastAsiaTheme="minorEastAsia" w:hAnsi="Arial" w:cs="Arial"/>
                <w:b/>
                <w:bCs/>
                <w:spacing w:val="8"/>
                <w:sz w:val="20"/>
                <w:szCs w:val="20"/>
                <w:lang w:eastAsia="zh-CN"/>
              </w:rPr>
              <w:t>CN</w:t>
            </w:r>
          </w:p>
          <w:p w:rsidR="00E967D6" w:rsidRPr="00BD2FD8" w:rsidRDefault="00E967D6" w:rsidP="00BD2FD8">
            <w:pPr>
              <w:widowControl w:val="0"/>
              <w:snapToGrid w:val="0"/>
              <w:rPr>
                <w:rFonts w:ascii="Arial" w:eastAsiaTheme="minorEastAsia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FD8">
              <w:rPr>
                <w:rFonts w:ascii="Arial" w:eastAsiaTheme="minorEastAsia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China</w:t>
            </w:r>
          </w:p>
          <w:p w:rsidR="00BD2FD8" w:rsidRPr="00BD2FD8" w:rsidRDefault="00BD2FD8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4D6474" w:rsidRDefault="00E967D6" w:rsidP="00BD2FD8">
            <w:pPr>
              <w:widowControl w:val="0"/>
              <w:snapToGrid w:val="0"/>
              <w:rPr>
                <w:rFonts w:ascii="Arial" w:eastAsiaTheme="minorEastAsia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We support the draft decision sheet ExTAG/502/CD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67D6" w:rsidRPr="00C61DFD" w:rsidTr="00BD2FD8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BD2FD8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FD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QPS</w:t>
            </w:r>
          </w:p>
          <w:p w:rsidR="00E967D6" w:rsidRPr="00BD2FD8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FD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CA</w:t>
            </w:r>
          </w:p>
          <w:p w:rsidR="00E967D6" w:rsidRPr="00BD2FD8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Agree with ExTAG decision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</w:tr>
      <w:tr w:rsidR="00E967D6" w:rsidRPr="00C61DFD" w:rsidTr="00BD2FD8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BD2FD8" w:rsidRDefault="00E967D6" w:rsidP="00BD2FD8">
            <w:pPr>
              <w:widowControl w:val="0"/>
              <w:snapToGrid w:val="0"/>
              <w:rPr>
                <w:rFonts w:ascii="Arial" w:eastAsiaTheme="minorEastAsia" w:hAnsi="Arial" w:cs="Arial"/>
                <w:b/>
                <w:bCs/>
                <w:spacing w:val="8"/>
                <w:sz w:val="20"/>
                <w:szCs w:val="20"/>
                <w:lang w:val="en-US" w:eastAsia="ja-JP"/>
              </w:rPr>
            </w:pPr>
            <w:r w:rsidRPr="00BD2FD8">
              <w:rPr>
                <w:rFonts w:ascii="Arial" w:eastAsiaTheme="minorEastAsia" w:hAnsi="Arial" w:cs="Arial"/>
                <w:b/>
                <w:bCs/>
                <w:spacing w:val="8"/>
                <w:sz w:val="20"/>
                <w:szCs w:val="20"/>
                <w:lang w:val="en-US" w:eastAsia="ja-JP"/>
              </w:rPr>
              <w:t>TIIS</w:t>
            </w:r>
          </w:p>
          <w:p w:rsidR="00E967D6" w:rsidRPr="00BD2FD8" w:rsidRDefault="00E967D6" w:rsidP="00BD2FD8">
            <w:pPr>
              <w:widowControl w:val="0"/>
              <w:snapToGrid w:val="0"/>
              <w:rPr>
                <w:rFonts w:ascii="Arial" w:eastAsiaTheme="minorEastAsia" w:hAnsi="Arial" w:cs="Arial"/>
                <w:b/>
                <w:bCs/>
                <w:spacing w:val="8"/>
                <w:sz w:val="20"/>
                <w:szCs w:val="20"/>
                <w:lang w:val="en-US" w:eastAsia="ja-JP"/>
              </w:rPr>
            </w:pPr>
            <w:r w:rsidRPr="00BD2FD8">
              <w:rPr>
                <w:rFonts w:ascii="Arial" w:eastAsiaTheme="minorEastAsia" w:hAnsi="Arial" w:cs="Arial"/>
                <w:b/>
                <w:bCs/>
                <w:spacing w:val="8"/>
                <w:sz w:val="20"/>
                <w:szCs w:val="20"/>
                <w:lang w:val="en-US" w:eastAsia="ja-JP"/>
              </w:rPr>
              <w:t>JP</w:t>
            </w:r>
          </w:p>
          <w:p w:rsidR="00E967D6" w:rsidRPr="00BD2FD8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A9379C" w:rsidRDefault="00E967D6" w:rsidP="00D54CE1">
            <w:pPr>
              <w:widowControl w:val="0"/>
              <w:snapToGrid w:val="0"/>
              <w:jc w:val="center"/>
              <w:rPr>
                <w:rFonts w:ascii="Arial" w:eastAsiaTheme="minorEastAsia" w:hAnsi="Arial" w:cs="Arial"/>
                <w:b/>
                <w:bCs/>
                <w:spacing w:val="8"/>
                <w:sz w:val="20"/>
                <w:szCs w:val="20"/>
                <w:lang w:val="en-US" w:eastAsia="ja-JP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476C7E" w:rsidRDefault="00E967D6" w:rsidP="00BD2FD8">
            <w:pPr>
              <w:widowControl w:val="0"/>
              <w:snapToGrid w:val="0"/>
              <w:rPr>
                <w:rFonts w:ascii="Arial" w:eastAsiaTheme="minorEastAsia" w:hAnsi="Arial" w:cs="Arial"/>
                <w:b/>
                <w:bCs/>
                <w:spacing w:val="8"/>
                <w:sz w:val="20"/>
                <w:szCs w:val="20"/>
                <w:lang w:val="en-US" w:eastAsia="ja-JP"/>
              </w:rPr>
            </w:pPr>
            <w:r>
              <w:rPr>
                <w:rFonts w:ascii="Arial" w:eastAsiaTheme="minorEastAsia" w:hAnsi="Arial" w:cs="Arial" w:hint="eastAsia"/>
                <w:b/>
                <w:bCs/>
                <w:spacing w:val="8"/>
                <w:sz w:val="20"/>
                <w:szCs w:val="20"/>
                <w:lang w:val="en-US" w:eastAsia="ja-JP"/>
              </w:rPr>
              <w:t>Accepted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476C7E" w:rsidRDefault="00E967D6" w:rsidP="00D54CE1">
            <w:pPr>
              <w:widowControl w:val="0"/>
              <w:snapToGrid w:val="0"/>
              <w:jc w:val="center"/>
              <w:rPr>
                <w:rFonts w:ascii="Arial" w:eastAsiaTheme="minorEastAsia" w:hAnsi="Arial" w:cs="Arial"/>
                <w:b/>
                <w:bCs/>
                <w:spacing w:val="8"/>
                <w:sz w:val="20"/>
                <w:szCs w:val="20"/>
                <w:lang w:val="en-US" w:eastAsia="ja-JP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D54CE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67D6" w:rsidRPr="00C61DFD" w:rsidTr="00BD2FD8">
        <w:trPr>
          <w:trHeight w:val="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D6" w:rsidRPr="00BD2FD8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FD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</w:t>
            </w:r>
          </w:p>
          <w:p w:rsidR="00E967D6" w:rsidRPr="00BD2FD8" w:rsidRDefault="00E967D6" w:rsidP="00BD2FD8">
            <w:pPr>
              <w:widowControl w:val="0"/>
              <w:snapToGrid w:val="0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BD2FD8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Default="00E967D6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Default="00E967D6" w:rsidP="00BD2FD8">
            <w:pPr>
              <w:widowControl w:val="0"/>
              <w:snapToGrid w:val="0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  <w:r w:rsidRPr="00E967D6"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  <w:t>We agree with the draft 502/CD.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64680C" w:rsidRDefault="00E967D6" w:rsidP="0064680C">
            <w:pPr>
              <w:widowControl w:val="0"/>
              <w:snapToGrid w:val="0"/>
              <w:rPr>
                <w:rFonts w:ascii="Arial" w:hAnsi="Arial" w:cs="Arial"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D6" w:rsidRPr="00C61DFD" w:rsidRDefault="00E967D6" w:rsidP="00473B86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DE0314" w:rsidRDefault="00DE0314"/>
    <w:sectPr w:rsidR="00DE0314" w:rsidSect="00DE03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EE" w:rsidRDefault="003F5AEE" w:rsidP="00DE0314">
      <w:r>
        <w:separator/>
      </w:r>
    </w:p>
  </w:endnote>
  <w:endnote w:type="continuationSeparator" w:id="0">
    <w:p w:rsidR="003F5AEE" w:rsidRDefault="003F5AEE" w:rsidP="00DE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F6" w:rsidRDefault="00C85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70713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75957580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:rsidR="00DE0314" w:rsidRPr="00DE0314" w:rsidRDefault="00DE0314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0314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9E7D9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DE0314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9E7D9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6</w:t>
            </w:r>
            <w:r w:rsidRPr="00DE031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E0314" w:rsidRDefault="00DE03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F6" w:rsidRDefault="00C85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EE" w:rsidRDefault="003F5AEE" w:rsidP="00DE0314">
      <w:r>
        <w:separator/>
      </w:r>
    </w:p>
  </w:footnote>
  <w:footnote w:type="continuationSeparator" w:id="0">
    <w:p w:rsidR="003F5AEE" w:rsidRDefault="003F5AEE" w:rsidP="00DE0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F6" w:rsidRDefault="00C85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14" w:rsidRDefault="00DE0314">
    <w:pPr>
      <w:pStyle w:val="Header"/>
    </w:pPr>
    <w:r>
      <w:rPr>
        <w:noProof/>
        <w:lang w:eastAsia="en-AU"/>
      </w:rPr>
      <w:drawing>
        <wp:inline distT="0" distB="0" distL="0" distR="0" wp14:anchorId="53373094">
          <wp:extent cx="1066800" cy="4762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0314" w:rsidRPr="00DE0314" w:rsidRDefault="00DE0314" w:rsidP="00DE0314">
    <w:pPr>
      <w:pStyle w:val="Header"/>
      <w:jc w:val="right"/>
      <w:rPr>
        <w:rFonts w:ascii="Arial" w:hAnsi="Arial" w:cs="Arial"/>
        <w:b/>
        <w:sz w:val="22"/>
        <w:szCs w:val="22"/>
      </w:rPr>
    </w:pPr>
    <w:r w:rsidRPr="00FD1C8C">
      <w:rPr>
        <w:rFonts w:ascii="Arial" w:hAnsi="Arial" w:cs="Arial"/>
        <w:b/>
        <w:sz w:val="22"/>
        <w:szCs w:val="22"/>
      </w:rPr>
      <w:t>ExTAG/</w:t>
    </w:r>
    <w:r w:rsidR="00FD1C8C" w:rsidRPr="00FD1C8C">
      <w:rPr>
        <w:rFonts w:ascii="Arial" w:hAnsi="Arial" w:cs="Arial"/>
        <w:b/>
        <w:sz w:val="22"/>
        <w:szCs w:val="22"/>
      </w:rPr>
      <w:t>524</w:t>
    </w:r>
    <w:r w:rsidRPr="00FD1C8C">
      <w:rPr>
        <w:rFonts w:ascii="Arial" w:hAnsi="Arial" w:cs="Arial"/>
        <w:b/>
        <w:sz w:val="22"/>
        <w:szCs w:val="22"/>
      </w:rPr>
      <w:t>C</w:t>
    </w:r>
    <w:r w:rsidR="00FD1C8C" w:rsidRPr="00FD1C8C">
      <w:rPr>
        <w:rFonts w:ascii="Arial" w:hAnsi="Arial" w:cs="Arial"/>
        <w:b/>
        <w:sz w:val="22"/>
        <w:szCs w:val="22"/>
      </w:rPr>
      <w:t>C</w:t>
    </w:r>
  </w:p>
  <w:p w:rsidR="00DE0314" w:rsidRPr="00DE0314" w:rsidRDefault="00FD1C8C" w:rsidP="00DE0314">
    <w:pPr>
      <w:pStyle w:val="Header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August </w:t>
    </w:r>
    <w:r w:rsidR="00C7006C">
      <w:rPr>
        <w:rFonts w:ascii="Arial" w:hAnsi="Arial" w:cs="Arial"/>
        <w:b/>
        <w:sz w:val="22"/>
        <w:szCs w:val="22"/>
      </w:rPr>
      <w:t>2018</w:t>
    </w:r>
    <w:r w:rsidR="00DE0314" w:rsidRPr="00DE0314">
      <w:rPr>
        <w:rFonts w:ascii="Arial" w:hAnsi="Arial" w:cs="Arial"/>
        <w:b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F6" w:rsidRDefault="00C85B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14"/>
    <w:rsid w:val="00024208"/>
    <w:rsid w:val="002B7478"/>
    <w:rsid w:val="003F5AEE"/>
    <w:rsid w:val="004B3644"/>
    <w:rsid w:val="0056496D"/>
    <w:rsid w:val="00626707"/>
    <w:rsid w:val="0064680C"/>
    <w:rsid w:val="006F08F5"/>
    <w:rsid w:val="008E5FAE"/>
    <w:rsid w:val="009E7D95"/>
    <w:rsid w:val="00B153AC"/>
    <w:rsid w:val="00BD2FD8"/>
    <w:rsid w:val="00BD7FB7"/>
    <w:rsid w:val="00C7006C"/>
    <w:rsid w:val="00C85BF6"/>
    <w:rsid w:val="00CC3E3D"/>
    <w:rsid w:val="00DE0314"/>
    <w:rsid w:val="00E845B2"/>
    <w:rsid w:val="00E967D6"/>
    <w:rsid w:val="00EA615F"/>
    <w:rsid w:val="00EC4596"/>
    <w:rsid w:val="00F2199A"/>
    <w:rsid w:val="00F47103"/>
    <w:rsid w:val="00FC7D7C"/>
    <w:rsid w:val="00FD1C8C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5:chartTrackingRefBased/>
  <w15:docId w15:val="{12658A97-AAC9-4AD1-9873-25F07684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3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31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F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E845B2"/>
    <w:pPr>
      <w:spacing w:after="120"/>
      <w:ind w:left="3312" w:hanging="1440"/>
    </w:pPr>
    <w:rPr>
      <w:rFonts w:ascii="Arial" w:hAnsi="Arial"/>
      <w:color w:val="000000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E845B2"/>
    <w:rPr>
      <w:rFonts w:ascii="Arial" w:eastAsia="Times New Roman" w:hAnsi="Arial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.gauthier@fr.bureauveritas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jugauthier\AppData\Local\Temp\notesC9812B\www.iecex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hristine.kane@iecex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cp:lastPrinted>2018-06-12T16:51:00Z</cp:lastPrinted>
  <dcterms:created xsi:type="dcterms:W3CDTF">2018-08-21T06:47:00Z</dcterms:created>
  <dcterms:modified xsi:type="dcterms:W3CDTF">2018-08-22T22:37:00Z</dcterms:modified>
</cp:coreProperties>
</file>