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B8" w:rsidRPr="003842AB" w:rsidRDefault="004F28B8" w:rsidP="004F28B8">
      <w:pPr>
        <w:rPr>
          <w:b/>
          <w:sz w:val="24"/>
          <w:szCs w:val="24"/>
        </w:rPr>
      </w:pPr>
      <w:r w:rsidRPr="003842AB">
        <w:rPr>
          <w:b/>
          <w:sz w:val="24"/>
          <w:szCs w:val="24"/>
        </w:rPr>
        <w:t>INTERNATIONAL ELECTROTECHNICAL COMMISSION SCHEME FOR CERTIFICATION TO STANDARDS RELATING TO EQUIPMENT FOR USE IN EXPLOSIVE ATMOSPHERES (IECEx SCHEME)</w:t>
      </w:r>
    </w:p>
    <w:p w:rsidR="004F28B8" w:rsidRPr="00F8696A" w:rsidRDefault="004F28B8" w:rsidP="004F28B8">
      <w:pPr>
        <w:pStyle w:val="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Pr="00F8696A">
        <w:rPr>
          <w:b/>
          <w:sz w:val="28"/>
          <w:szCs w:val="28"/>
        </w:rPr>
        <w:t>IECEx OPERATIONAL DOCUMENT</w:t>
      </w:r>
      <w:r>
        <w:rPr>
          <w:b/>
          <w:sz w:val="28"/>
          <w:szCs w:val="28"/>
        </w:rPr>
        <w:t xml:space="preserve"> OD 005-3</w:t>
      </w:r>
    </w:p>
    <w:p w:rsidR="004F28B8" w:rsidRPr="00F8696A" w:rsidRDefault="004F28B8" w:rsidP="004F28B8">
      <w:pPr>
        <w:pStyle w:val="MAIN-TITLE"/>
        <w:jc w:val="left"/>
        <w:rPr>
          <w:sz w:val="20"/>
          <w:szCs w:val="20"/>
        </w:rPr>
      </w:pPr>
    </w:p>
    <w:p w:rsidR="004F28B8" w:rsidRPr="008410E1" w:rsidRDefault="004F28B8" w:rsidP="004F28B8">
      <w:pPr>
        <w:pStyle w:val="MAIN-TITLE"/>
        <w:jc w:val="left"/>
        <w:rPr>
          <w:sz w:val="22"/>
        </w:rPr>
      </w:pPr>
      <w:r w:rsidRPr="00E0351A">
        <w:t xml:space="preserve">Title: </w:t>
      </w:r>
      <w:r w:rsidRPr="008410E1">
        <w:rPr>
          <w:sz w:val="22"/>
        </w:rPr>
        <w:t>IECEx Quality System Requirements for Manufacturers –</w:t>
      </w:r>
    </w:p>
    <w:p w:rsidR="004F28B8" w:rsidRPr="008410E1" w:rsidRDefault="004F28B8" w:rsidP="004F28B8">
      <w:pPr>
        <w:pStyle w:val="MAIN-TITLE"/>
        <w:jc w:val="left"/>
        <w:rPr>
          <w:sz w:val="22"/>
        </w:rPr>
      </w:pPr>
      <w:r w:rsidRPr="008410E1">
        <w:rPr>
          <w:sz w:val="22"/>
        </w:rPr>
        <w:t xml:space="preserve">Part 3: </w:t>
      </w:r>
      <w:r>
        <w:rPr>
          <w:sz w:val="22"/>
        </w:rPr>
        <w:t xml:space="preserve">Supplementary requirements </w:t>
      </w:r>
      <w:r w:rsidRPr="008410E1">
        <w:rPr>
          <w:sz w:val="22"/>
        </w:rPr>
        <w:t xml:space="preserve">for non-electrical equipment </w:t>
      </w:r>
      <w:r>
        <w:rPr>
          <w:sz w:val="22"/>
        </w:rPr>
        <w:t>to ISO/IEC 80079-34 Edition 1</w:t>
      </w:r>
    </w:p>
    <w:p w:rsidR="004F28B8" w:rsidRDefault="004F28B8" w:rsidP="004F28B8">
      <w:pPr>
        <w:pStyle w:val="MAIN-TITLE"/>
      </w:pPr>
    </w:p>
    <w:p w:rsidR="004F28B8" w:rsidRDefault="004F28B8" w:rsidP="004F28B8">
      <w:pPr>
        <w:pStyle w:val="MAIN-TITLE"/>
        <w:jc w:val="left"/>
      </w:pPr>
    </w:p>
    <w:p w:rsidR="004F28B8" w:rsidRDefault="004F28B8" w:rsidP="004F28B8">
      <w:pPr>
        <w:pStyle w:val="MAIN-TITLE"/>
        <w:jc w:val="left"/>
      </w:pPr>
    </w:p>
    <w:p w:rsidR="004F28B8" w:rsidRDefault="004F28B8" w:rsidP="004F28B8">
      <w:pPr>
        <w:rPr>
          <w:b/>
          <w:sz w:val="16"/>
        </w:rPr>
      </w:pPr>
    </w:p>
    <w:p w:rsidR="004F28B8" w:rsidRPr="00607A9A" w:rsidRDefault="004F28B8" w:rsidP="004F28B8">
      <w:pPr>
        <w:pStyle w:val="BodyText"/>
        <w:pBdr>
          <w:top w:val="thinThickSmallGap" w:sz="24" w:space="1" w:color="0000FF"/>
        </w:pBdr>
        <w:ind w:left="567" w:hanging="567"/>
        <w:rPr>
          <w:b/>
          <w:bCs/>
        </w:rPr>
      </w:pPr>
    </w:p>
    <w:p w:rsidR="004F28B8" w:rsidRDefault="004F28B8" w:rsidP="004F28B8">
      <w:pPr>
        <w:rPr>
          <w:sz w:val="22"/>
        </w:rPr>
      </w:pPr>
    </w:p>
    <w:p w:rsidR="004F28B8" w:rsidRDefault="004F28B8" w:rsidP="004F28B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INTRODUCTION</w:t>
      </w:r>
    </w:p>
    <w:p w:rsidR="004F28B8" w:rsidRDefault="004F28B8" w:rsidP="004F28B8">
      <w:pPr>
        <w:rPr>
          <w:b/>
          <w:bCs/>
          <w:sz w:val="22"/>
        </w:rPr>
      </w:pPr>
    </w:p>
    <w:p w:rsidR="004F28B8" w:rsidRDefault="004F28B8" w:rsidP="004F28B8">
      <w:pPr>
        <w:pStyle w:val="PARAGRAPH"/>
        <w:rPr>
          <w:sz w:val="22"/>
          <w:szCs w:val="22"/>
        </w:rPr>
      </w:pPr>
      <w:r>
        <w:rPr>
          <w:sz w:val="22"/>
          <w:szCs w:val="22"/>
        </w:rPr>
        <w:t xml:space="preserve">ExMC Working Group WG15 was formed to develop the necessary IECEx Scheme </w:t>
      </w:r>
      <w:proofErr w:type="gramStart"/>
      <w:r>
        <w:rPr>
          <w:sz w:val="22"/>
          <w:szCs w:val="22"/>
        </w:rPr>
        <w:t>documents</w:t>
      </w:r>
      <w:proofErr w:type="gramEnd"/>
      <w:r>
        <w:rPr>
          <w:sz w:val="22"/>
          <w:szCs w:val="22"/>
        </w:rPr>
        <w:t xml:space="preserve"> to enable inclusion of the IEC 31M series of Standards covering non electrical items to be included in the IECEx 02 Certified Equipment Scheme.</w:t>
      </w:r>
    </w:p>
    <w:p w:rsidR="004F28B8" w:rsidRDefault="004F28B8" w:rsidP="004F28B8">
      <w:pPr>
        <w:pStyle w:val="PARAGRAPH"/>
        <w:rPr>
          <w:sz w:val="22"/>
          <w:szCs w:val="22"/>
        </w:rPr>
      </w:pPr>
      <w:r>
        <w:rPr>
          <w:sz w:val="22"/>
          <w:szCs w:val="22"/>
        </w:rPr>
        <w:t xml:space="preserve">WG15 led by the Convener, Mr Jim Munro has held various meetings to consider the necessary documents, one being this proposed Draft </w:t>
      </w:r>
      <w:r w:rsidRPr="004F28B8">
        <w:rPr>
          <w:i/>
          <w:sz w:val="22"/>
          <w:szCs w:val="22"/>
        </w:rPr>
        <w:t>“IECEx Quality System Requirements for Manufacturers – Part 3: Supplementary requirements for non-electrical equipment to ISO/IEC 80079-34 Edition 1</w:t>
      </w:r>
      <w:r>
        <w:rPr>
          <w:sz w:val="22"/>
          <w:szCs w:val="22"/>
        </w:rPr>
        <w:t>”, which was finalised during the recent May 2015 Toronto meeting of WG15.</w:t>
      </w:r>
    </w:p>
    <w:p w:rsidR="004F28B8" w:rsidRDefault="004F28B8" w:rsidP="004F28B8">
      <w:pPr>
        <w:pStyle w:val="PARAGRAPH"/>
        <w:rPr>
          <w:sz w:val="22"/>
          <w:szCs w:val="22"/>
        </w:rPr>
      </w:pPr>
      <w:r>
        <w:rPr>
          <w:sz w:val="22"/>
          <w:szCs w:val="22"/>
        </w:rPr>
        <w:t>This Draft document is now submitted for consideration by the IECEx Management Committee (ExMC) during its September 2015 annual meeting in Christchurch, NZ.</w:t>
      </w:r>
    </w:p>
    <w:p w:rsidR="004F28B8" w:rsidRDefault="004F28B8" w:rsidP="004F28B8">
      <w:pPr>
        <w:pStyle w:val="PARAGRAPH"/>
        <w:rPr>
          <w:sz w:val="22"/>
          <w:szCs w:val="22"/>
        </w:rPr>
      </w:pPr>
      <w:r>
        <w:rPr>
          <w:sz w:val="22"/>
          <w:szCs w:val="22"/>
        </w:rPr>
        <w:t xml:space="preserve">In preparation for the ExMC Christchurch meeting, ExMC Members are invited to submit comments </w:t>
      </w:r>
      <w:r w:rsidR="00813898">
        <w:rPr>
          <w:sz w:val="22"/>
          <w:szCs w:val="22"/>
        </w:rPr>
        <w:t xml:space="preserve">ahead of the Christchurch meeting, </w:t>
      </w:r>
      <w:r>
        <w:rPr>
          <w:sz w:val="22"/>
          <w:szCs w:val="22"/>
        </w:rPr>
        <w:t xml:space="preserve">to the IECEx Secretariat via </w:t>
      </w:r>
      <w:hyperlink r:id="rId7" w:history="1">
        <w:r w:rsidRPr="008728E3">
          <w:rPr>
            <w:rStyle w:val="Hyperlink"/>
            <w:sz w:val="22"/>
            <w:szCs w:val="22"/>
          </w:rPr>
          <w:t>chris.agius@iecex.com</w:t>
        </w:r>
      </w:hyperlink>
      <w:r>
        <w:rPr>
          <w:sz w:val="22"/>
          <w:szCs w:val="22"/>
        </w:rPr>
        <w:t xml:space="preserve"> the attached comment form by </w:t>
      </w:r>
      <w:r w:rsidR="00785AC9">
        <w:rPr>
          <w:b/>
          <w:color w:val="FF0000"/>
          <w:sz w:val="22"/>
          <w:szCs w:val="22"/>
        </w:rPr>
        <w:t>21</w:t>
      </w:r>
      <w:r w:rsidRPr="00396223">
        <w:rPr>
          <w:b/>
          <w:color w:val="FF0000"/>
          <w:sz w:val="22"/>
          <w:szCs w:val="22"/>
        </w:rPr>
        <w:t xml:space="preserve"> August 2015</w:t>
      </w:r>
      <w:r>
        <w:rPr>
          <w:sz w:val="22"/>
          <w:szCs w:val="22"/>
        </w:rPr>
        <w:t xml:space="preserve"> </w:t>
      </w:r>
    </w:p>
    <w:p w:rsidR="004F28B8" w:rsidRDefault="004F28B8" w:rsidP="004F28B8">
      <w:pPr>
        <w:pStyle w:val="PARAGRAPH"/>
        <w:spacing w:before="0" w:after="0"/>
        <w:rPr>
          <w:sz w:val="22"/>
          <w:szCs w:val="22"/>
        </w:rPr>
      </w:pPr>
    </w:p>
    <w:p w:rsidR="004F28B8" w:rsidRPr="00CA3B42" w:rsidRDefault="004F28B8" w:rsidP="004F28B8">
      <w:pPr>
        <w:pStyle w:val="PARAGRAPH"/>
        <w:spacing w:before="0" w:after="0"/>
        <w:rPr>
          <w:b/>
          <w:i/>
          <w:sz w:val="22"/>
          <w:szCs w:val="22"/>
        </w:rPr>
      </w:pPr>
      <w:r w:rsidRPr="00CA3B42">
        <w:rPr>
          <w:b/>
          <w:i/>
          <w:sz w:val="22"/>
          <w:szCs w:val="22"/>
        </w:rPr>
        <w:t>Chris Agius</w:t>
      </w:r>
      <w:bookmarkStart w:id="0" w:name="_GoBack"/>
      <w:bookmarkEnd w:id="0"/>
    </w:p>
    <w:p w:rsidR="004F28B8" w:rsidRPr="00CA3B42" w:rsidRDefault="004F28B8" w:rsidP="004F28B8">
      <w:pPr>
        <w:pStyle w:val="PARAGRAPH"/>
        <w:spacing w:before="0" w:after="0"/>
        <w:rPr>
          <w:b/>
          <w:i/>
          <w:sz w:val="22"/>
          <w:szCs w:val="22"/>
        </w:rPr>
      </w:pPr>
      <w:r w:rsidRPr="00CA3B42">
        <w:rPr>
          <w:b/>
          <w:i/>
          <w:sz w:val="22"/>
          <w:szCs w:val="22"/>
        </w:rPr>
        <w:t>IECEx Secretariat</w:t>
      </w:r>
    </w:p>
    <w:p w:rsidR="004F28B8" w:rsidRPr="00CA3B42" w:rsidRDefault="004F28B8" w:rsidP="004F28B8">
      <w:pPr>
        <w:rPr>
          <w:b/>
          <w:i/>
          <w:sz w:val="22"/>
        </w:rPr>
      </w:pPr>
    </w:p>
    <w:p w:rsidR="004F28B8" w:rsidRDefault="004F28B8" w:rsidP="004F28B8">
      <w:pPr>
        <w:rPr>
          <w:sz w:val="22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F28B8" w:rsidRPr="005003BB" w:rsidTr="00BA7493">
        <w:tc>
          <w:tcPr>
            <w:tcW w:w="4320" w:type="dxa"/>
          </w:tcPr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Address: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Level 33, Australia Square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264 George Street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Australia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:rsidR="004F28B8" w:rsidRPr="005003BB" w:rsidRDefault="004F28B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003BB">
              <w:rPr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:rsidR="004F28B8" w:rsidRPr="005003BB" w:rsidRDefault="00813898" w:rsidP="00BA74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hyperlink r:id="rId8" w:history="1">
              <w:r w:rsidR="004F28B8" w:rsidRPr="00360CA4">
                <w:rPr>
                  <w:rStyle w:val="Hyperlink"/>
                  <w:b/>
                  <w:bCs/>
                  <w:sz w:val="24"/>
                  <w:szCs w:val="24"/>
                </w:rPr>
                <w:t>http://www.iecex.com</w:t>
              </w:r>
            </w:hyperlink>
          </w:p>
        </w:tc>
      </w:tr>
    </w:tbl>
    <w:p w:rsidR="00757E47" w:rsidRPr="008410E1" w:rsidRDefault="00757E47" w:rsidP="00B7688B">
      <w:pPr>
        <w:pStyle w:val="CommentText"/>
        <w:tabs>
          <w:tab w:val="left" w:pos="-1416"/>
          <w:tab w:val="left" w:pos="-708"/>
          <w:tab w:val="left" w:pos="-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lang w:val="en-GB"/>
        </w:rPr>
      </w:pPr>
    </w:p>
    <w:p w:rsidR="00757E47" w:rsidRPr="008410E1" w:rsidRDefault="00757E47" w:rsidP="00B7688B">
      <w:pPr>
        <w:tabs>
          <w:tab w:val="left" w:pos="-1416"/>
          <w:tab w:val="left" w:pos="-708"/>
          <w:tab w:val="left" w:pos="-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</w:rPr>
      </w:pPr>
    </w:p>
    <w:p w:rsidR="004F28B8" w:rsidRDefault="004F28B8" w:rsidP="00B7688B">
      <w:pPr>
        <w:tabs>
          <w:tab w:val="left" w:pos="-567"/>
        </w:tabs>
        <w:rPr>
          <w:b/>
        </w:rPr>
        <w:sectPr w:rsidR="004F28B8" w:rsidSect="00B7688B">
          <w:headerReference w:type="default" r:id="rId9"/>
          <w:footerReference w:type="default" r:id="rId10"/>
          <w:pgSz w:w="11906" w:h="16838"/>
          <w:pgMar w:top="1440" w:right="1440" w:bottom="1440" w:left="1440" w:header="720" w:footer="720" w:gutter="0"/>
          <w:cols w:space="720"/>
          <w:docGrid w:linePitch="272"/>
        </w:sectPr>
      </w:pPr>
    </w:p>
    <w:p w:rsidR="004F28B8" w:rsidRDefault="004F28B8" w:rsidP="00B7688B">
      <w:pPr>
        <w:tabs>
          <w:tab w:val="left" w:pos="-567"/>
        </w:tabs>
        <w:rPr>
          <w:b/>
        </w:rPr>
      </w:pPr>
    </w:p>
    <w:tbl>
      <w:tblPr>
        <w:tblW w:w="1399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6"/>
        <w:gridCol w:w="1620"/>
        <w:gridCol w:w="1440"/>
        <w:gridCol w:w="1800"/>
        <w:gridCol w:w="3060"/>
        <w:gridCol w:w="3240"/>
        <w:gridCol w:w="1877"/>
      </w:tblGrid>
      <w:tr w:rsidR="004F28B8" w:rsidTr="00BA7493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  <w:r w:rsidRPr="0088518E">
              <w:rPr>
                <w:b/>
                <w:lang w:val="en-US"/>
              </w:rPr>
              <w:t>Member Body/</w:t>
            </w:r>
          </w:p>
          <w:p w:rsidR="004F28B8" w:rsidRPr="00AA2551" w:rsidRDefault="004F28B8" w:rsidP="00BA7493">
            <w:pPr>
              <w:keepLines/>
              <w:spacing w:line="180" w:lineRule="exact"/>
              <w:jc w:val="center"/>
              <w:rPr>
                <w:b/>
                <w:lang w:val="ru-RU"/>
              </w:rPr>
            </w:pPr>
            <w:r w:rsidRPr="0088518E">
              <w:rPr>
                <w:b/>
                <w:lang w:val="en-US"/>
              </w:rPr>
              <w:t>Country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  <w:r w:rsidRPr="0088518E">
              <w:rPr>
                <w:b/>
                <w:lang w:val="en-US"/>
              </w:rPr>
              <w:t>Clause/ Sub-clause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Default="004F28B8" w:rsidP="00BA7493">
            <w:pPr>
              <w:keepLines/>
              <w:spacing w:line="180" w:lineRule="exact"/>
              <w:jc w:val="center"/>
              <w:rPr>
                <w:b/>
              </w:rPr>
            </w:pPr>
            <w:r w:rsidRPr="0088518E">
              <w:rPr>
                <w:b/>
                <w:lang w:val="en-US"/>
              </w:rPr>
              <w:t>Paragraph Figure/ Table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  <w:r w:rsidRPr="0088518E">
              <w:rPr>
                <w:b/>
                <w:sz w:val="16"/>
                <w:szCs w:val="16"/>
                <w:lang w:val="en-US"/>
              </w:rPr>
              <w:t>Type of</w:t>
            </w:r>
          </w:p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  <w:r w:rsidRPr="0088518E">
              <w:rPr>
                <w:b/>
                <w:sz w:val="16"/>
                <w:szCs w:val="16"/>
                <w:lang w:val="en-US"/>
              </w:rPr>
              <w:t>comment</w:t>
            </w:r>
          </w:p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  <w:r w:rsidRPr="0088518E">
              <w:rPr>
                <w:b/>
                <w:sz w:val="16"/>
                <w:szCs w:val="16"/>
                <w:lang w:val="en-US"/>
              </w:rPr>
              <w:t>General/</w:t>
            </w:r>
          </w:p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  <w:r w:rsidRPr="0088518E">
              <w:rPr>
                <w:b/>
                <w:sz w:val="16"/>
                <w:szCs w:val="16"/>
                <w:lang w:val="en-US"/>
              </w:rPr>
              <w:t>technical/</w:t>
            </w:r>
          </w:p>
          <w:p w:rsidR="004F28B8" w:rsidRDefault="004F28B8" w:rsidP="00BA7493">
            <w:pPr>
              <w:keepLines/>
              <w:spacing w:line="180" w:lineRule="exact"/>
              <w:jc w:val="center"/>
              <w:rPr>
                <w:b/>
                <w:sz w:val="22"/>
                <w:szCs w:val="22"/>
              </w:rPr>
            </w:pPr>
            <w:r w:rsidRPr="0088518E">
              <w:rPr>
                <w:b/>
                <w:sz w:val="16"/>
                <w:szCs w:val="16"/>
                <w:lang w:val="en-US"/>
              </w:rPr>
              <w:t>editorial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lang w:val="en-US"/>
              </w:rPr>
            </w:pPr>
            <w:r w:rsidRPr="0088518E">
              <w:rPr>
                <w:b/>
                <w:lang w:val="en-US"/>
              </w:rPr>
              <w:t>COMMENTS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  <w:r w:rsidRPr="0088518E">
              <w:rPr>
                <w:b/>
                <w:lang w:val="en-US"/>
              </w:rPr>
              <w:t>Proposed change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  <w:r w:rsidRPr="0088518E">
              <w:rPr>
                <w:b/>
                <w:lang w:val="en-US"/>
              </w:rPr>
              <w:t>Observation</w:t>
            </w:r>
          </w:p>
        </w:tc>
      </w:tr>
      <w:tr w:rsidR="004F28B8" w:rsidTr="00BA7493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spacing w:line="18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</w:tr>
      <w:tr w:rsidR="004F28B8" w:rsidTr="00BA7493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spacing w:line="18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</w:tr>
      <w:tr w:rsidR="004F28B8" w:rsidTr="00BA7493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spacing w:line="18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</w:tr>
      <w:tr w:rsidR="004F28B8" w:rsidTr="00BA7493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spacing w:line="18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</w:tr>
      <w:tr w:rsidR="004F28B8" w:rsidTr="00BA7493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spacing w:line="18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88518E" w:rsidRDefault="004F28B8" w:rsidP="00BA7493">
            <w:pPr>
              <w:keepLines/>
              <w:jc w:val="center"/>
              <w:rPr>
                <w:b/>
                <w:lang w:val="en-US"/>
              </w:rPr>
            </w:pPr>
          </w:p>
        </w:tc>
      </w:tr>
      <w:tr w:rsidR="004F28B8" w:rsidRPr="00306CBB" w:rsidTr="00BA7493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D57463" w:rsidRDefault="004F28B8" w:rsidP="00BA7493">
            <w:pPr>
              <w:keepLines/>
              <w:jc w:val="center"/>
              <w:rPr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FB3174" w:rsidRDefault="004F28B8" w:rsidP="00BA7493">
            <w:pPr>
              <w:keepLines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FB3174" w:rsidRDefault="004F28B8" w:rsidP="00BA7493">
            <w:pPr>
              <w:keepLines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D57463" w:rsidRDefault="004F28B8" w:rsidP="00BA7493">
            <w:pPr>
              <w:pStyle w:val="BodyText2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306CBB" w:rsidRDefault="004F28B8" w:rsidP="00BA7493">
            <w:pPr>
              <w:pStyle w:val="BodyText"/>
              <w:rPr>
                <w:szCs w:val="22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306CBB" w:rsidRDefault="004F28B8" w:rsidP="00BA7493">
            <w:pPr>
              <w:keepLines/>
              <w:rPr>
                <w:szCs w:val="22"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B8" w:rsidRPr="00306CBB" w:rsidRDefault="004F28B8" w:rsidP="00BA7493">
            <w:pPr>
              <w:keepLines/>
              <w:jc w:val="center"/>
              <w:rPr>
                <w:szCs w:val="22"/>
                <w:lang w:val="en-US"/>
              </w:rPr>
            </w:pPr>
          </w:p>
        </w:tc>
      </w:tr>
    </w:tbl>
    <w:p w:rsidR="004F28B8" w:rsidRDefault="004F28B8" w:rsidP="00B7688B">
      <w:pPr>
        <w:tabs>
          <w:tab w:val="left" w:pos="-567"/>
        </w:tabs>
        <w:rPr>
          <w:b/>
        </w:rPr>
      </w:pPr>
    </w:p>
    <w:p w:rsidR="004F28B8" w:rsidRDefault="004F28B8" w:rsidP="00B7688B">
      <w:pPr>
        <w:tabs>
          <w:tab w:val="left" w:pos="-567"/>
        </w:tabs>
        <w:rPr>
          <w:b/>
        </w:rPr>
        <w:sectPr w:rsidR="004F28B8" w:rsidSect="004F28B8">
          <w:pgSz w:w="16838" w:h="11906" w:orient="landscape"/>
          <w:pgMar w:top="1440" w:right="1440" w:bottom="1440" w:left="1440" w:header="720" w:footer="720" w:gutter="0"/>
          <w:cols w:space="720"/>
          <w:docGrid w:linePitch="272"/>
        </w:sectPr>
      </w:pPr>
    </w:p>
    <w:p w:rsidR="00757E47" w:rsidRPr="008410E1" w:rsidRDefault="00757E47" w:rsidP="00B7688B">
      <w:pPr>
        <w:tabs>
          <w:tab w:val="left" w:pos="-567"/>
        </w:tabs>
        <w:rPr>
          <w:b/>
        </w:rPr>
      </w:pPr>
    </w:p>
    <w:p w:rsidR="00757E47" w:rsidRPr="008410E1" w:rsidRDefault="00A9010A" w:rsidP="00B7688B">
      <w:pPr>
        <w:pStyle w:val="Heading1"/>
        <w:tabs>
          <w:tab w:val="left" w:pos="-567"/>
        </w:tabs>
        <w:rPr>
          <w:lang w:val="en-GB"/>
        </w:rPr>
      </w:pPr>
      <w:r w:rsidRPr="008410E1">
        <w:rPr>
          <w:lang w:val="en-GB"/>
        </w:rPr>
        <w:t>Scope</w:t>
      </w:r>
    </w:p>
    <w:p w:rsidR="00757E47" w:rsidRDefault="00404296" w:rsidP="00B7688B">
      <w:pPr>
        <w:pStyle w:val="PARAGRAPH"/>
        <w:rPr>
          <w:lang w:val="en-GB"/>
        </w:rPr>
      </w:pPr>
      <w:r w:rsidRPr="008410E1">
        <w:rPr>
          <w:lang w:val="en-GB"/>
        </w:rPr>
        <w:t xml:space="preserve">Pending publication of ISO/IEC 80079-34 Edition 2, this document provides supplementary requirements for ISO/IEC 80079-34 Edition </w:t>
      </w:r>
      <w:r w:rsidR="00485C9A">
        <w:rPr>
          <w:lang w:val="en-GB"/>
        </w:rPr>
        <w:t>1</w:t>
      </w:r>
      <w:r w:rsidRPr="008410E1">
        <w:rPr>
          <w:lang w:val="en-GB"/>
        </w:rPr>
        <w:t xml:space="preserve"> related to non-electrical equipment. </w:t>
      </w:r>
    </w:p>
    <w:p w:rsidR="00F57FEC" w:rsidRPr="008410E1" w:rsidRDefault="00F57FEC" w:rsidP="00F57FEC">
      <w:pPr>
        <w:pStyle w:val="NOTE"/>
      </w:pPr>
      <w:r>
        <w:t xml:space="preserve">NOTE </w:t>
      </w:r>
      <w:proofErr w:type="gramStart"/>
      <w:r>
        <w:t>The</w:t>
      </w:r>
      <w:proofErr w:type="gramEnd"/>
      <w:r>
        <w:t xml:space="preserve"> information in Annex A of this document has been provided by the convenor of IEC SC 31M MT80079-34 as the most current text being considered for the next edition of ISO/IEC 80079-34.  This OD may be updated if the proposed text for ISO/IEC 80079-34 Edition 2 changes.</w:t>
      </w:r>
    </w:p>
    <w:p w:rsidR="00757E47" w:rsidRPr="008410E1" w:rsidRDefault="00A9010A" w:rsidP="00B7688B">
      <w:pPr>
        <w:pStyle w:val="Heading1"/>
        <w:tabs>
          <w:tab w:val="left" w:pos="-567"/>
        </w:tabs>
        <w:rPr>
          <w:lang w:val="en-GB"/>
        </w:rPr>
      </w:pPr>
      <w:r w:rsidRPr="008410E1">
        <w:rPr>
          <w:lang w:val="en-GB"/>
        </w:rPr>
        <w:t>Normative references</w:t>
      </w:r>
    </w:p>
    <w:p w:rsidR="00404296" w:rsidRPr="008F4578" w:rsidRDefault="00404296" w:rsidP="00B7688B">
      <w:pPr>
        <w:pStyle w:val="PARAGRAPH"/>
        <w:tabs>
          <w:tab w:val="left" w:pos="-567"/>
        </w:tabs>
        <w:rPr>
          <w:i/>
          <w:color w:val="000000"/>
          <w:lang w:val="en-GB"/>
        </w:rPr>
      </w:pPr>
      <w:r w:rsidRPr="008F4578">
        <w:rPr>
          <w:lang w:val="en-GB"/>
        </w:rPr>
        <w:t>ISO/IEC 80079-34</w:t>
      </w:r>
      <w:r w:rsidR="00F23203" w:rsidRPr="008F4578">
        <w:rPr>
          <w:lang w:val="en-GB"/>
        </w:rPr>
        <w:t xml:space="preserve"> </w:t>
      </w:r>
      <w:r w:rsidRPr="008F4578">
        <w:rPr>
          <w:color w:val="000000"/>
          <w:lang w:val="en-GB"/>
        </w:rPr>
        <w:t>Edition 1.0 2011-04</w:t>
      </w:r>
      <w:r w:rsidR="00F23203" w:rsidRPr="008F4578">
        <w:rPr>
          <w:color w:val="000000"/>
          <w:lang w:val="en-GB"/>
        </w:rPr>
        <w:t xml:space="preserve">, </w:t>
      </w:r>
      <w:r w:rsidR="00F23203" w:rsidRPr="008F4578">
        <w:rPr>
          <w:i/>
          <w:color w:val="000000"/>
          <w:lang w:val="en-GB"/>
        </w:rPr>
        <w:t>Explosive atmospheres – Part 34: Application of quality systems for equipment manufacture</w:t>
      </w:r>
    </w:p>
    <w:p w:rsidR="008410E1" w:rsidRPr="008F4578" w:rsidRDefault="005219B6" w:rsidP="005219B6">
      <w:pPr>
        <w:pStyle w:val="PARAGRAPH"/>
        <w:tabs>
          <w:tab w:val="left" w:pos="-567"/>
        </w:tabs>
        <w:rPr>
          <w:i/>
          <w:color w:val="000000"/>
          <w:lang w:val="en-GB"/>
        </w:rPr>
      </w:pPr>
      <w:r w:rsidRPr="008F4578">
        <w:rPr>
          <w:color w:val="000000"/>
          <w:lang w:val="en-GB"/>
        </w:rPr>
        <w:t xml:space="preserve">ISO/IEC 80079-36 (currently at FDIS) </w:t>
      </w:r>
      <w:r w:rsidRPr="008F4578">
        <w:rPr>
          <w:i/>
          <w:color w:val="000000"/>
          <w:lang w:val="en-GB"/>
        </w:rPr>
        <w:t>Explosive atmospheres – Part 36: Non-electrical equipment for explosive atmospheres – Basic method and requirements</w:t>
      </w:r>
    </w:p>
    <w:p w:rsidR="005219B6" w:rsidRPr="008F4578" w:rsidRDefault="005219B6" w:rsidP="005219B6">
      <w:pPr>
        <w:pStyle w:val="PARAGRAPH"/>
        <w:tabs>
          <w:tab w:val="left" w:pos="-567"/>
        </w:tabs>
        <w:rPr>
          <w:i/>
          <w:color w:val="000000"/>
          <w:lang w:val="en-GB"/>
        </w:rPr>
      </w:pPr>
      <w:r w:rsidRPr="008F4578">
        <w:rPr>
          <w:color w:val="000000"/>
          <w:lang w:val="en-GB"/>
        </w:rPr>
        <w:t xml:space="preserve">ISO/IEC 80079-37 (currently at FDIS) </w:t>
      </w:r>
      <w:r w:rsidRPr="008F4578">
        <w:rPr>
          <w:i/>
          <w:color w:val="000000"/>
          <w:lang w:val="en-GB"/>
        </w:rPr>
        <w:t xml:space="preserve">Explosive atmospheres – Part 37: Non-electrical equipment for explosive atmospheres – </w:t>
      </w:r>
      <w:r w:rsidRPr="008F4578">
        <w:rPr>
          <w:bCs/>
          <w:i/>
          <w:color w:val="000000"/>
        </w:rPr>
        <w:t xml:space="preserve">Non electrical type of protection constructional safety “c”, </w:t>
      </w:r>
      <w:r w:rsidRPr="008F4578">
        <w:rPr>
          <w:i/>
          <w:color w:val="000000"/>
          <w:lang w:val="en-GB"/>
        </w:rPr>
        <w:t>control of ignition source “b”, liquid immersion “k”</w:t>
      </w:r>
    </w:p>
    <w:p w:rsidR="005A79AC" w:rsidRPr="008F4578" w:rsidRDefault="005A79AC" w:rsidP="005A79AC">
      <w:pPr>
        <w:pStyle w:val="PARAGRAPH"/>
        <w:rPr>
          <w:i/>
        </w:rPr>
      </w:pPr>
      <w:r w:rsidRPr="008F4578">
        <w:t xml:space="preserve">ISO 16852:2008 </w:t>
      </w:r>
      <w:r w:rsidRPr="008F4578">
        <w:rPr>
          <w:i/>
        </w:rPr>
        <w:t>Flame arresters - Performance requirements, test methods and limits for use</w:t>
      </w:r>
    </w:p>
    <w:p w:rsidR="00F23203" w:rsidRPr="008410E1" w:rsidRDefault="00F23203" w:rsidP="00B7688B">
      <w:pPr>
        <w:pStyle w:val="Heading1"/>
        <w:tabs>
          <w:tab w:val="left" w:pos="-567"/>
        </w:tabs>
        <w:rPr>
          <w:lang w:val="en-GB"/>
        </w:rPr>
      </w:pPr>
      <w:r w:rsidRPr="008410E1">
        <w:rPr>
          <w:lang w:val="en-GB"/>
        </w:rPr>
        <w:t>Requirements</w:t>
      </w:r>
    </w:p>
    <w:p w:rsidR="00F23203" w:rsidRPr="008410E1" w:rsidRDefault="00F23203" w:rsidP="00B7688B">
      <w:pPr>
        <w:pStyle w:val="PARAGRAPH"/>
        <w:tabs>
          <w:tab w:val="left" w:pos="-567"/>
        </w:tabs>
        <w:rPr>
          <w:color w:val="000000"/>
          <w:sz w:val="21"/>
          <w:szCs w:val="21"/>
          <w:lang w:val="en-GB"/>
        </w:rPr>
      </w:pPr>
      <w:r w:rsidRPr="008410E1">
        <w:rPr>
          <w:lang w:val="en-GB"/>
        </w:rPr>
        <w:t xml:space="preserve">In general all the requirements of ISO/IEC 80079-34 </w:t>
      </w:r>
      <w:r w:rsidRPr="008410E1">
        <w:rPr>
          <w:color w:val="000000"/>
          <w:sz w:val="21"/>
          <w:szCs w:val="21"/>
          <w:lang w:val="en-GB"/>
        </w:rPr>
        <w:t xml:space="preserve">Edition 1.0 </w:t>
      </w:r>
      <w:r w:rsidR="00373B36">
        <w:rPr>
          <w:color w:val="000000"/>
          <w:sz w:val="21"/>
          <w:szCs w:val="21"/>
          <w:lang w:val="en-GB"/>
        </w:rPr>
        <w:t xml:space="preserve">shall </w:t>
      </w:r>
      <w:r w:rsidRPr="008410E1">
        <w:rPr>
          <w:color w:val="000000"/>
          <w:sz w:val="21"/>
          <w:szCs w:val="21"/>
          <w:lang w:val="en-GB"/>
        </w:rPr>
        <w:t xml:space="preserve">apply for non-electrical </w:t>
      </w:r>
      <w:proofErr w:type="gramStart"/>
      <w:r w:rsidRPr="008410E1">
        <w:rPr>
          <w:color w:val="000000"/>
          <w:sz w:val="21"/>
          <w:szCs w:val="21"/>
          <w:lang w:val="en-GB"/>
        </w:rPr>
        <w:t>Ex</w:t>
      </w:r>
      <w:proofErr w:type="gramEnd"/>
      <w:r w:rsidRPr="008410E1">
        <w:rPr>
          <w:color w:val="000000"/>
          <w:sz w:val="21"/>
          <w:szCs w:val="21"/>
          <w:lang w:val="en-GB"/>
        </w:rPr>
        <w:t xml:space="preserve"> equipment as well electrical Ex equipment.</w:t>
      </w:r>
    </w:p>
    <w:p w:rsidR="00F23203" w:rsidRPr="008410E1" w:rsidRDefault="00F23203" w:rsidP="00B7688B">
      <w:pPr>
        <w:pStyle w:val="PARAGRAPH"/>
        <w:tabs>
          <w:tab w:val="left" w:pos="-567"/>
        </w:tabs>
        <w:rPr>
          <w:color w:val="000000"/>
          <w:sz w:val="21"/>
          <w:szCs w:val="21"/>
          <w:lang w:val="en-GB"/>
        </w:rPr>
      </w:pPr>
      <w:r w:rsidRPr="008410E1">
        <w:rPr>
          <w:color w:val="000000"/>
          <w:sz w:val="21"/>
          <w:szCs w:val="21"/>
          <w:lang w:val="en-GB"/>
        </w:rPr>
        <w:t xml:space="preserve">In addition to the </w:t>
      </w:r>
      <w:r w:rsidR="005219B6">
        <w:rPr>
          <w:color w:val="000000"/>
          <w:sz w:val="21"/>
          <w:szCs w:val="21"/>
          <w:lang w:val="en-GB"/>
        </w:rPr>
        <w:t xml:space="preserve">requirements in the </w:t>
      </w:r>
      <w:r w:rsidRPr="008410E1">
        <w:rPr>
          <w:color w:val="000000"/>
          <w:sz w:val="21"/>
          <w:szCs w:val="21"/>
          <w:lang w:val="en-GB"/>
        </w:rPr>
        <w:t xml:space="preserve">above </w:t>
      </w:r>
      <w:r w:rsidR="005219B6">
        <w:rPr>
          <w:color w:val="000000"/>
          <w:sz w:val="21"/>
          <w:szCs w:val="21"/>
          <w:lang w:val="en-GB"/>
        </w:rPr>
        <w:t xml:space="preserve">standard, </w:t>
      </w:r>
      <w:r w:rsidRPr="008410E1">
        <w:rPr>
          <w:color w:val="000000"/>
          <w:sz w:val="21"/>
          <w:szCs w:val="21"/>
          <w:lang w:val="en-GB"/>
        </w:rPr>
        <w:t>the requirements for Annex A o</w:t>
      </w:r>
      <w:r w:rsidR="005219B6">
        <w:rPr>
          <w:color w:val="000000"/>
          <w:sz w:val="21"/>
          <w:szCs w:val="21"/>
          <w:lang w:val="en-GB"/>
        </w:rPr>
        <w:t xml:space="preserve">f this OD </w:t>
      </w:r>
      <w:r w:rsidR="00373B36">
        <w:rPr>
          <w:color w:val="000000"/>
          <w:sz w:val="21"/>
          <w:szCs w:val="21"/>
          <w:lang w:val="en-GB"/>
        </w:rPr>
        <w:t xml:space="preserve">shall be considered </w:t>
      </w:r>
      <w:r w:rsidR="005219B6">
        <w:rPr>
          <w:color w:val="000000"/>
          <w:sz w:val="21"/>
          <w:szCs w:val="21"/>
          <w:lang w:val="en-GB"/>
        </w:rPr>
        <w:t>for non-electrical equipment.</w:t>
      </w:r>
    </w:p>
    <w:p w:rsidR="00B7688B" w:rsidRPr="008410E1" w:rsidRDefault="00B7688B" w:rsidP="00B7688B">
      <w:pPr>
        <w:pStyle w:val="PARAGRAPH"/>
        <w:tabs>
          <w:tab w:val="left" w:pos="-567"/>
        </w:tabs>
        <w:rPr>
          <w:color w:val="000000"/>
          <w:sz w:val="21"/>
          <w:szCs w:val="21"/>
          <w:lang w:val="en-GB"/>
        </w:rPr>
      </w:pPr>
      <w:r w:rsidRPr="008410E1">
        <w:rPr>
          <w:color w:val="000000"/>
          <w:sz w:val="21"/>
          <w:szCs w:val="21"/>
          <w:lang w:val="en-GB"/>
        </w:rPr>
        <w:br/>
      </w:r>
    </w:p>
    <w:p w:rsidR="00F23203" w:rsidRPr="008410E1" w:rsidRDefault="00B7688B" w:rsidP="00BF09E0">
      <w:pPr>
        <w:pStyle w:val="ANNEXtitle"/>
        <w:ind w:firstLine="0"/>
      </w:pPr>
      <w:r w:rsidRPr="008410E1">
        <w:lastRenderedPageBreak/>
        <w:br/>
      </w:r>
      <w:r w:rsidR="00F23203" w:rsidRPr="008410E1">
        <w:t xml:space="preserve">(informative) </w:t>
      </w:r>
      <w:r w:rsidR="00F23203" w:rsidRPr="008410E1">
        <w:br/>
        <w:t>Information relevant to particular types of protection for non-electrical equipment</w:t>
      </w:r>
    </w:p>
    <w:p w:rsidR="00F23203" w:rsidRPr="008410E1" w:rsidRDefault="00F23203" w:rsidP="00A9010A">
      <w:pPr>
        <w:pStyle w:val="ANNEX-heading1"/>
        <w:tabs>
          <w:tab w:val="left" w:pos="-567"/>
        </w:tabs>
        <w:rPr>
          <w:lang w:val="en-GB"/>
        </w:rPr>
      </w:pPr>
      <w:r w:rsidRPr="008410E1">
        <w:rPr>
          <w:lang w:val="en-GB"/>
        </w:rPr>
        <w:t>General</w:t>
      </w:r>
    </w:p>
    <w:p w:rsidR="00F23203" w:rsidRDefault="00F23203" w:rsidP="00B7688B">
      <w:pPr>
        <w:pStyle w:val="PARAGRAPH"/>
        <w:tabs>
          <w:tab w:val="left" w:pos="-567"/>
        </w:tabs>
        <w:rPr>
          <w:lang w:val="en-GB"/>
        </w:rPr>
      </w:pPr>
      <w:r w:rsidRPr="008410E1">
        <w:rPr>
          <w:lang w:val="en-GB"/>
        </w:rPr>
        <w:t>This annex provides information on those aspects that the quality system should address with</w:t>
      </w:r>
      <w:r w:rsidR="00B7688B" w:rsidRPr="008410E1">
        <w:rPr>
          <w:lang w:val="en-GB"/>
        </w:rPr>
        <w:t xml:space="preserve"> </w:t>
      </w:r>
      <w:r w:rsidRPr="008410E1">
        <w:rPr>
          <w:lang w:val="en-GB"/>
        </w:rPr>
        <w:t xml:space="preserve">respect to </w:t>
      </w:r>
      <w:r w:rsidR="00B7688B" w:rsidRPr="008410E1">
        <w:rPr>
          <w:lang w:val="en-GB"/>
        </w:rPr>
        <w:t>non-electrical equipment</w:t>
      </w:r>
      <w:r w:rsidRPr="008410E1">
        <w:rPr>
          <w:lang w:val="en-GB"/>
        </w:rPr>
        <w:t>. It does not add to or otherwise change the</w:t>
      </w:r>
      <w:r w:rsidR="00B7688B" w:rsidRPr="008410E1">
        <w:rPr>
          <w:lang w:val="en-GB"/>
        </w:rPr>
        <w:t xml:space="preserve"> </w:t>
      </w:r>
      <w:r w:rsidRPr="008410E1">
        <w:rPr>
          <w:lang w:val="en-GB"/>
        </w:rPr>
        <w:t xml:space="preserve">requirements of </w:t>
      </w:r>
      <w:r w:rsidR="00B7688B" w:rsidRPr="008410E1">
        <w:rPr>
          <w:lang w:val="en-GB"/>
        </w:rPr>
        <w:t>ISO/IEC 80079-34.</w:t>
      </w:r>
    </w:p>
    <w:p w:rsidR="00B66D8C" w:rsidRPr="00B66D8C" w:rsidRDefault="00B66D8C" w:rsidP="00B66D8C">
      <w:pPr>
        <w:pStyle w:val="ANNEX-heading1"/>
      </w:pPr>
      <w:bookmarkStart w:id="1" w:name="_Toc225920198"/>
      <w:bookmarkStart w:id="2" w:name="_Toc384202586"/>
      <w:bookmarkStart w:id="3" w:name="_Toc384203971"/>
      <w:r w:rsidRPr="00B66D8C">
        <w:t>Flame arresters</w:t>
      </w:r>
      <w:bookmarkEnd w:id="1"/>
      <w:bookmarkEnd w:id="2"/>
      <w:bookmarkEnd w:id="3"/>
      <w:r w:rsidRPr="00B66D8C">
        <w:tab/>
      </w:r>
    </w:p>
    <w:p w:rsidR="00B66D8C" w:rsidRPr="00B66D8C" w:rsidRDefault="00B66D8C" w:rsidP="00B66D8C">
      <w:pPr>
        <w:pStyle w:val="PARAGRAPH"/>
        <w:rPr>
          <w:snapToGrid w:val="0"/>
          <w:lang w:eastAsia="fr-FR"/>
        </w:rPr>
      </w:pPr>
      <w:r w:rsidRPr="00B66D8C">
        <w:rPr>
          <w:snapToGrid w:val="0"/>
          <w:lang w:eastAsia="fr-FR"/>
        </w:rPr>
        <w:t xml:space="preserve">Documented procedures should ensure that the following aspects are verified, if relevant: </w:t>
      </w:r>
    </w:p>
    <w:p w:rsidR="00B66D8C" w:rsidRPr="00B66D8C" w:rsidRDefault="00B66D8C" w:rsidP="00B66D8C">
      <w:pPr>
        <w:pStyle w:val="ListNumber"/>
        <w:rPr>
          <w:snapToGrid w:val="0"/>
          <w:lang w:eastAsia="fr-FR"/>
        </w:rPr>
      </w:pPr>
      <w:r w:rsidRPr="00B66D8C">
        <w:rPr>
          <w:snapToGrid w:val="0"/>
          <w:lang w:eastAsia="fr-FR"/>
        </w:rPr>
        <w:t>gap width measurement on the enclosure, between cage and enclosure, on thread openings into the enclosure and between flame arrester and enclosure;</w:t>
      </w:r>
    </w:p>
    <w:p w:rsidR="00B66D8C" w:rsidRPr="00B66D8C" w:rsidRDefault="00B66D8C" w:rsidP="00B66D8C">
      <w:pPr>
        <w:pStyle w:val="ListNumber"/>
      </w:pPr>
      <w:r w:rsidRPr="00B66D8C">
        <w:t>flow measurement;</w:t>
      </w:r>
    </w:p>
    <w:p w:rsidR="00B66D8C" w:rsidRPr="00B66D8C" w:rsidRDefault="00B66D8C" w:rsidP="00B66D8C">
      <w:pPr>
        <w:pStyle w:val="ListNumber"/>
      </w:pPr>
      <w:r w:rsidRPr="00B66D8C">
        <w:t>leak test of housing;</w:t>
      </w:r>
    </w:p>
    <w:p w:rsidR="00B66D8C" w:rsidRPr="00B66D8C" w:rsidRDefault="00B66D8C" w:rsidP="00B66D8C">
      <w:pPr>
        <w:pStyle w:val="ListNumber"/>
      </w:pPr>
      <w:r w:rsidRPr="00B66D8C">
        <w:t>pressure test of housing;</w:t>
      </w:r>
    </w:p>
    <w:p w:rsidR="00B66D8C" w:rsidRPr="00B66D8C" w:rsidRDefault="00B66D8C" w:rsidP="00B66D8C">
      <w:pPr>
        <w:pStyle w:val="ListNumber"/>
      </w:pPr>
      <w:r w:rsidRPr="00B66D8C">
        <w:t>assurance of material properties;</w:t>
      </w:r>
    </w:p>
    <w:p w:rsidR="00B66D8C" w:rsidRPr="00B66D8C" w:rsidRDefault="00B66D8C" w:rsidP="00B66D8C">
      <w:pPr>
        <w:pStyle w:val="ListNumber"/>
      </w:pPr>
      <w:r w:rsidRPr="00B66D8C">
        <w:t>tests of welded joints;</w:t>
      </w:r>
    </w:p>
    <w:p w:rsidR="00B66D8C" w:rsidRPr="00B66D8C" w:rsidRDefault="00B66D8C" w:rsidP="00B66D8C">
      <w:pPr>
        <w:pStyle w:val="ListNumber"/>
      </w:pPr>
      <w:r w:rsidRPr="00B66D8C">
        <w:t>determination of limits of use;</w:t>
      </w:r>
    </w:p>
    <w:p w:rsidR="00B66D8C" w:rsidRPr="00B66D8C" w:rsidRDefault="00B66D8C" w:rsidP="00B66D8C">
      <w:pPr>
        <w:pStyle w:val="ListNumber"/>
      </w:pPr>
      <w:r w:rsidRPr="00B66D8C">
        <w:t>measurement of the triangle´s height or of the porosity of the flame arrester;</w:t>
      </w:r>
    </w:p>
    <w:p w:rsidR="00B66D8C" w:rsidRPr="00B66D8C" w:rsidRDefault="00B66D8C" w:rsidP="00B66D8C">
      <w:pPr>
        <w:pStyle w:val="ListNumber"/>
      </w:pPr>
      <w:proofErr w:type="gramStart"/>
      <w:r w:rsidRPr="00B66D8C">
        <w:t>marking</w:t>
      </w:r>
      <w:proofErr w:type="gramEnd"/>
      <w:r w:rsidRPr="00B66D8C">
        <w:t xml:space="preserve"> of the pipe connection facilities to be protected.</w:t>
      </w:r>
    </w:p>
    <w:p w:rsidR="00B66D8C" w:rsidRPr="008410E1" w:rsidRDefault="00B66D8C" w:rsidP="00B7688B">
      <w:pPr>
        <w:pStyle w:val="PARAGRAPH"/>
        <w:tabs>
          <w:tab w:val="left" w:pos="-567"/>
        </w:tabs>
        <w:rPr>
          <w:lang w:val="en-GB"/>
        </w:rPr>
      </w:pPr>
    </w:p>
    <w:p w:rsidR="0024003C" w:rsidRPr="0024003C" w:rsidRDefault="0024003C" w:rsidP="0024003C">
      <w:pPr>
        <w:pStyle w:val="ANNEX-heading1"/>
      </w:pPr>
      <w:bookmarkStart w:id="4" w:name="_Ref384199642"/>
      <w:bookmarkStart w:id="5" w:name="_Toc384202588"/>
      <w:bookmarkStart w:id="6" w:name="_Toc384203973"/>
      <w:bookmarkStart w:id="7" w:name="_Toc240958158"/>
      <w:r w:rsidRPr="0024003C">
        <w:t>Non-electrical Equipment</w:t>
      </w:r>
      <w:bookmarkEnd w:id="4"/>
      <w:bookmarkEnd w:id="5"/>
      <w:bookmarkEnd w:id="6"/>
      <w:r w:rsidRPr="0024003C">
        <w:t xml:space="preserve"> </w:t>
      </w:r>
      <w:bookmarkEnd w:id="7"/>
    </w:p>
    <w:p w:rsidR="0024003C" w:rsidRPr="0024003C" w:rsidRDefault="0024003C" w:rsidP="0024003C">
      <w:pPr>
        <w:pStyle w:val="ANNEX-heading2"/>
      </w:pPr>
      <w:bookmarkStart w:id="8" w:name="_Toc240958159"/>
      <w:bookmarkStart w:id="9" w:name="_Toc384202589"/>
      <w:bookmarkStart w:id="10" w:name="_Toc384203974"/>
      <w:r w:rsidRPr="0024003C">
        <w:t>General</w:t>
      </w:r>
      <w:bookmarkEnd w:id="8"/>
      <w:bookmarkEnd w:id="9"/>
      <w:bookmarkEnd w:id="10"/>
    </w:p>
    <w:p w:rsidR="0024003C" w:rsidRPr="0024003C" w:rsidRDefault="0024003C" w:rsidP="0024003C">
      <w:pPr>
        <w:pStyle w:val="PARAGRAPH"/>
      </w:pPr>
      <w:r w:rsidRPr="0024003C">
        <w:t>The following safety aspects as specified in the technical documentation should be realised by systematic production techniques and/or verifications and tests on the basis of written procedures.</w:t>
      </w:r>
    </w:p>
    <w:p w:rsidR="0024003C" w:rsidRPr="0024003C" w:rsidRDefault="0024003C" w:rsidP="0024003C">
      <w:pPr>
        <w:pStyle w:val="PARAGRAPH"/>
      </w:pPr>
      <w:r w:rsidRPr="0024003C">
        <w:t xml:space="preserve">For dust ignition protection the safety aspects laid down in </w:t>
      </w:r>
      <w:r w:rsidR="00485C9A">
        <w:t xml:space="preserve">A.10 of ISO/IEC 80079-34 Edition 1 </w:t>
      </w:r>
      <w:r w:rsidRPr="0024003C">
        <w:t>may also apply.</w:t>
      </w:r>
    </w:p>
    <w:p w:rsidR="0024003C" w:rsidRPr="0024003C" w:rsidRDefault="0024003C" w:rsidP="0024003C">
      <w:pPr>
        <w:pStyle w:val="ANNEX-heading2"/>
      </w:pPr>
      <w:bookmarkStart w:id="11" w:name="_Toc240958160"/>
      <w:bookmarkStart w:id="12" w:name="_Toc384202590"/>
      <w:bookmarkStart w:id="13" w:name="_Toc384203975"/>
      <w:proofErr w:type="spellStart"/>
      <w:r w:rsidRPr="0024003C">
        <w:t>Non metallic</w:t>
      </w:r>
      <w:proofErr w:type="spellEnd"/>
      <w:r w:rsidRPr="0024003C">
        <w:t xml:space="preserve"> parts</w:t>
      </w:r>
      <w:bookmarkEnd w:id="11"/>
      <w:bookmarkEnd w:id="12"/>
      <w:bookmarkEnd w:id="13"/>
    </w:p>
    <w:p w:rsidR="0024003C" w:rsidRPr="0024003C" w:rsidRDefault="0024003C" w:rsidP="0024003C">
      <w:pPr>
        <w:pStyle w:val="PARAGRAPH"/>
      </w:pPr>
      <w:proofErr w:type="spellStart"/>
      <w:r w:rsidRPr="0024003C">
        <w:t>Non metallic</w:t>
      </w:r>
      <w:proofErr w:type="spellEnd"/>
      <w:r w:rsidRPr="0024003C">
        <w:t xml:space="preserve"> parts should be subject to verification that demonstrates conformity, e.g.:</w:t>
      </w:r>
    </w:p>
    <w:p w:rsidR="0024003C" w:rsidRPr="00B66D8C" w:rsidRDefault="0024003C" w:rsidP="00353267">
      <w:pPr>
        <w:pStyle w:val="ListNumber"/>
        <w:numPr>
          <w:ilvl w:val="0"/>
          <w:numId w:val="33"/>
        </w:numPr>
        <w:rPr>
          <w:snapToGrid w:val="0"/>
          <w:lang w:eastAsia="fr-FR"/>
        </w:rPr>
      </w:pPr>
      <w:r w:rsidRPr="00B66D8C">
        <w:rPr>
          <w:snapToGrid w:val="0"/>
          <w:lang w:eastAsia="fr-FR"/>
        </w:rPr>
        <w:t>material characteristics;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finish;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surface resistance;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surface area of non-conductive parts;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limitation of thickness;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measures</w:t>
      </w:r>
      <w:proofErr w:type="gramEnd"/>
      <w:r w:rsidRPr="0024003C">
        <w:rPr>
          <w:snapToGrid w:val="0"/>
          <w:lang w:eastAsia="fr-FR"/>
        </w:rPr>
        <w:t xml:space="preserve"> for charge bonding (earthed frames).</w:t>
      </w:r>
    </w:p>
    <w:p w:rsidR="0024003C" w:rsidRPr="0024003C" w:rsidRDefault="0024003C" w:rsidP="0024003C">
      <w:pPr>
        <w:pStyle w:val="ANNEX-heading2"/>
      </w:pPr>
      <w:bookmarkStart w:id="14" w:name="_Toc240958161"/>
      <w:bookmarkStart w:id="15" w:name="_Toc384202591"/>
      <w:bookmarkStart w:id="16" w:name="_Toc384203976"/>
      <w:r w:rsidRPr="0024003C">
        <w:lastRenderedPageBreak/>
        <w:t>Casing and external parts</w:t>
      </w:r>
      <w:bookmarkEnd w:id="14"/>
      <w:bookmarkEnd w:id="15"/>
      <w:bookmarkEnd w:id="16"/>
    </w:p>
    <w:p w:rsidR="0024003C" w:rsidRPr="0024003C" w:rsidRDefault="0024003C" w:rsidP="0024003C">
      <w:pPr>
        <w:pStyle w:val="PARAGRAPH"/>
      </w:pPr>
      <w:r w:rsidRPr="0024003C">
        <w:t>Casing and external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31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material of the casing and content of light metals;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protection of removable parts against unintentional or inadvertent removal;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materials</w:t>
      </w:r>
      <w:proofErr w:type="gramEnd"/>
      <w:r w:rsidRPr="0024003C">
        <w:rPr>
          <w:snapToGrid w:val="0"/>
          <w:lang w:eastAsia="fr-FR"/>
        </w:rPr>
        <w:t xml:space="preserve"> used for cementing.</w:t>
      </w:r>
    </w:p>
    <w:p w:rsidR="0024003C" w:rsidRPr="0024003C" w:rsidRDefault="0024003C" w:rsidP="0024003C">
      <w:pPr>
        <w:pStyle w:val="ANNEX-heading2"/>
      </w:pPr>
      <w:bookmarkStart w:id="17" w:name="_Toc240958162"/>
      <w:bookmarkStart w:id="18" w:name="_Toc384202592"/>
      <w:bookmarkStart w:id="19" w:name="_Toc384203977"/>
      <w:r w:rsidRPr="0024003C">
        <w:t>Earthing and equipotential bonding of conductive parts</w:t>
      </w:r>
      <w:bookmarkEnd w:id="17"/>
      <w:bookmarkEnd w:id="18"/>
      <w:bookmarkEnd w:id="19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30"/>
        </w:numPr>
        <w:rPr>
          <w:snapToGrid w:val="0"/>
          <w:lang w:eastAsia="fr-FR"/>
        </w:rPr>
      </w:pPr>
      <w:proofErr w:type="spellStart"/>
      <w:r w:rsidRPr="0024003C">
        <w:rPr>
          <w:snapToGrid w:val="0"/>
          <w:lang w:eastAsia="fr-FR"/>
        </w:rPr>
        <w:t>earthing</w:t>
      </w:r>
      <w:proofErr w:type="spellEnd"/>
      <w:r w:rsidRPr="0024003C">
        <w:rPr>
          <w:snapToGrid w:val="0"/>
          <w:lang w:eastAsia="fr-FR"/>
        </w:rPr>
        <w:t xml:space="preserve"> terminal;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effective connection of conductive parts;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voltage</w:t>
      </w:r>
      <w:proofErr w:type="gramEnd"/>
      <w:r w:rsidRPr="0024003C">
        <w:rPr>
          <w:snapToGrid w:val="0"/>
          <w:lang w:eastAsia="fr-FR"/>
        </w:rPr>
        <w:t xml:space="preserve"> equalising cables.</w:t>
      </w:r>
    </w:p>
    <w:p w:rsidR="0024003C" w:rsidRPr="0024003C" w:rsidRDefault="0024003C" w:rsidP="0024003C">
      <w:pPr>
        <w:pStyle w:val="ANNEX-heading2"/>
      </w:pPr>
      <w:bookmarkStart w:id="20" w:name="_Toc240958163"/>
      <w:bookmarkStart w:id="21" w:name="_Toc384202593"/>
      <w:bookmarkStart w:id="22" w:name="_Toc384203978"/>
      <w:r w:rsidRPr="0024003C">
        <w:t>Light transmitting parts</w:t>
      </w:r>
      <w:bookmarkEnd w:id="20"/>
      <w:bookmarkEnd w:id="21"/>
      <w:bookmarkEnd w:id="22"/>
    </w:p>
    <w:p w:rsidR="0024003C" w:rsidRPr="0024003C" w:rsidRDefault="0024003C" w:rsidP="0024003C">
      <w:pPr>
        <w:pStyle w:val="PARAGRAPH"/>
      </w:pPr>
      <w:r w:rsidRPr="0024003C">
        <w:t>The following light transmitting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9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material;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integrity;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guards</w:t>
      </w:r>
      <w:proofErr w:type="gramEnd"/>
      <w:r w:rsidRPr="0024003C">
        <w:rPr>
          <w:snapToGrid w:val="0"/>
          <w:lang w:eastAsia="fr-FR"/>
        </w:rPr>
        <w:t xml:space="preserve"> and protective covers.</w:t>
      </w:r>
    </w:p>
    <w:p w:rsidR="0024003C" w:rsidRPr="0024003C" w:rsidRDefault="0024003C" w:rsidP="0024003C">
      <w:pPr>
        <w:pStyle w:val="ANNEX-heading2"/>
      </w:pPr>
      <w:bookmarkStart w:id="23" w:name="_Toc240958164"/>
      <w:bookmarkStart w:id="24" w:name="_Toc384202594"/>
      <w:bookmarkStart w:id="25" w:name="_Toc384203979"/>
      <w:r w:rsidRPr="0024003C">
        <w:t>Ingress protection (IP)</w:t>
      </w:r>
      <w:bookmarkEnd w:id="23"/>
      <w:bookmarkEnd w:id="24"/>
      <w:bookmarkEnd w:id="25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8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weld continuity;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fitting of gaskets and seals;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continuity of moulded grooves and tongues;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application</w:t>
      </w:r>
      <w:proofErr w:type="gramEnd"/>
      <w:r w:rsidRPr="0024003C">
        <w:rPr>
          <w:snapToGrid w:val="0"/>
          <w:lang w:eastAsia="fr-FR"/>
        </w:rPr>
        <w:t xml:space="preserve"> of cements.</w:t>
      </w:r>
    </w:p>
    <w:p w:rsidR="0024003C" w:rsidRPr="0024003C" w:rsidRDefault="0024003C" w:rsidP="0024003C">
      <w:pPr>
        <w:pStyle w:val="ANNEX-heading1"/>
      </w:pPr>
      <w:bookmarkStart w:id="26" w:name="_Toc240958168"/>
      <w:bookmarkStart w:id="27" w:name="_Toc384202595"/>
      <w:bookmarkStart w:id="28" w:name="_Toc384203980"/>
      <w:r w:rsidRPr="0024003C">
        <w:t>Non Electrical Equipment protected by constructional safety “c” (ISO 80079-37)</w:t>
      </w:r>
      <w:bookmarkEnd w:id="26"/>
      <w:bookmarkEnd w:id="27"/>
      <w:bookmarkEnd w:id="28"/>
    </w:p>
    <w:p w:rsidR="0024003C" w:rsidRPr="0024003C" w:rsidRDefault="0024003C" w:rsidP="0024003C">
      <w:pPr>
        <w:pStyle w:val="ANNEX-heading2"/>
      </w:pPr>
      <w:bookmarkStart w:id="29" w:name="_Toc240958169"/>
      <w:bookmarkStart w:id="30" w:name="_Toc384202596"/>
      <w:bookmarkStart w:id="31" w:name="_Toc384203981"/>
      <w:r w:rsidRPr="0024003C">
        <w:t>General</w:t>
      </w:r>
      <w:bookmarkEnd w:id="29"/>
      <w:bookmarkEnd w:id="30"/>
      <w:bookmarkEnd w:id="31"/>
    </w:p>
    <w:p w:rsidR="0024003C" w:rsidRPr="0024003C" w:rsidRDefault="0024003C" w:rsidP="0024003C">
      <w:pPr>
        <w:pStyle w:val="PARAGRAPH"/>
      </w:pPr>
      <w:r w:rsidRPr="0024003C">
        <w:t xml:space="preserve">Additional to the safety aspects for non-electrical equipment defined in </w:t>
      </w:r>
      <w:r w:rsidR="00955976">
        <w:fldChar w:fldCharType="begin"/>
      </w:r>
      <w:r w:rsidR="00955976">
        <w:instrText xml:space="preserve"> REF _Ref384199642 \r \h  \* MERGEFORMAT </w:instrText>
      </w:r>
      <w:r w:rsidR="00955976">
        <w:fldChar w:fldCharType="separate"/>
      </w:r>
      <w:r w:rsidR="005A79AC" w:rsidRPr="005A79AC">
        <w:t>A.3</w:t>
      </w:r>
      <w:r w:rsidR="00955976">
        <w:fldChar w:fldCharType="end"/>
      </w:r>
      <w:r w:rsidRPr="0024003C">
        <w:t xml:space="preserve"> the following safety aspects are relevant.</w:t>
      </w:r>
    </w:p>
    <w:p w:rsidR="0024003C" w:rsidRPr="0024003C" w:rsidRDefault="0024003C" w:rsidP="00485C9A">
      <w:pPr>
        <w:pStyle w:val="ANNEX-heading2"/>
      </w:pPr>
      <w:bookmarkStart w:id="32" w:name="_Toc240958170"/>
      <w:bookmarkStart w:id="33" w:name="_Toc384202597"/>
      <w:bookmarkStart w:id="34" w:name="_Toc384203982"/>
      <w:r w:rsidRPr="0024003C">
        <w:t>Metal-based material</w:t>
      </w:r>
      <w:bookmarkEnd w:id="32"/>
      <w:bookmarkEnd w:id="33"/>
      <w:bookmarkEnd w:id="34"/>
    </w:p>
    <w:p w:rsidR="0024003C" w:rsidRPr="0024003C" w:rsidRDefault="0024003C" w:rsidP="0024003C">
      <w:pPr>
        <w:snapToGrid w:val="0"/>
        <w:spacing w:before="100" w:after="200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7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material name complies with the requirement;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material properties (composition with regard to corrosion, thermal conduction and mechanical sparks, mass fraction of aluminium, titanium, magnesium, zirconium, flammability);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cracks, inclusions, blow holes and porosity (either by a visual test or another suitable test method depending on exposure);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heat treatment (e.g. hardening, tempering);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dimensional</w:t>
      </w:r>
      <w:proofErr w:type="gramEnd"/>
      <w:r w:rsidRPr="0024003C">
        <w:rPr>
          <w:snapToGrid w:val="0"/>
          <w:lang w:eastAsia="fr-FR"/>
        </w:rPr>
        <w:t xml:space="preserve"> accuracy including all parts without machining.</w:t>
      </w:r>
    </w:p>
    <w:p w:rsidR="0024003C" w:rsidRPr="0024003C" w:rsidRDefault="0024003C" w:rsidP="0024003C">
      <w:pPr>
        <w:pStyle w:val="ANNEX-heading2"/>
      </w:pPr>
      <w:bookmarkStart w:id="35" w:name="_Toc240958171"/>
      <w:bookmarkStart w:id="36" w:name="_Toc384202598"/>
      <w:bookmarkStart w:id="37" w:name="_Toc384203983"/>
      <w:r w:rsidRPr="0024003C">
        <w:lastRenderedPageBreak/>
        <w:t>Machining</w:t>
      </w:r>
      <w:bookmarkEnd w:id="35"/>
      <w:bookmarkEnd w:id="36"/>
      <w:bookmarkEnd w:id="37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5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compliance with tolerances for shape, position, concentricity, quality of finish;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 xml:space="preserve">dimensional accuracy of functional surfaces (e.g. tolerances for diameters; especially for indicator units </w:t>
      </w:r>
      <w:proofErr w:type="spellStart"/>
      <w:r w:rsidRPr="0024003C">
        <w:rPr>
          <w:snapToGrid w:val="0"/>
          <w:lang w:eastAsia="fr-FR"/>
        </w:rPr>
        <w:t>preadjustment</w:t>
      </w:r>
      <w:proofErr w:type="spellEnd"/>
      <w:r w:rsidRPr="0024003C">
        <w:rPr>
          <w:snapToGrid w:val="0"/>
          <w:lang w:eastAsia="fr-FR"/>
        </w:rPr>
        <w:t xml:space="preserve"> and correct polarity);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depth</w:t>
      </w:r>
      <w:proofErr w:type="gramEnd"/>
      <w:r w:rsidRPr="0024003C">
        <w:rPr>
          <w:snapToGrid w:val="0"/>
          <w:lang w:eastAsia="fr-FR"/>
        </w:rPr>
        <w:t xml:space="preserve"> and configuration of cut-</w:t>
      </w:r>
      <w:proofErr w:type="spellStart"/>
      <w:r w:rsidRPr="0024003C">
        <w:rPr>
          <w:snapToGrid w:val="0"/>
          <w:lang w:eastAsia="fr-FR"/>
        </w:rPr>
        <w:t>in</w:t>
      </w:r>
      <w:proofErr w:type="spellEnd"/>
      <w:r w:rsidRPr="0024003C">
        <w:rPr>
          <w:snapToGrid w:val="0"/>
          <w:lang w:eastAsia="fr-FR"/>
        </w:rPr>
        <w:t xml:space="preserve"> to ensure the </w:t>
      </w:r>
      <w:proofErr w:type="spellStart"/>
      <w:r w:rsidRPr="0024003C">
        <w:rPr>
          <w:snapToGrid w:val="0"/>
          <w:lang w:eastAsia="fr-FR"/>
        </w:rPr>
        <w:t>constructionally</w:t>
      </w:r>
      <w:proofErr w:type="spellEnd"/>
      <w:r w:rsidRPr="0024003C">
        <w:rPr>
          <w:snapToGrid w:val="0"/>
          <w:lang w:eastAsia="fr-FR"/>
        </w:rPr>
        <w:t xml:space="preserve"> intended stress concentration.</w:t>
      </w:r>
    </w:p>
    <w:p w:rsidR="0024003C" w:rsidRPr="0024003C" w:rsidRDefault="0024003C" w:rsidP="0024003C">
      <w:pPr>
        <w:pStyle w:val="ANNEX-heading2"/>
      </w:pPr>
      <w:bookmarkStart w:id="38" w:name="_Toc240958172"/>
      <w:bookmarkStart w:id="39" w:name="_Toc384202599"/>
      <w:bookmarkStart w:id="40" w:name="_Toc384203984"/>
      <w:r w:rsidRPr="0024003C">
        <w:t>Cemented joints and potted assemblies</w:t>
      </w:r>
      <w:bookmarkEnd w:id="38"/>
      <w:bookmarkEnd w:id="39"/>
      <w:bookmarkEnd w:id="40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6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shelf-life and storage of adhesives and casting compounds;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mixing procedure;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surface treatment (degreasing or equivalent measures are usually required immediately before the potting-process to ensure proper adhesion);</w:t>
      </w:r>
    </w:p>
    <w:p w:rsidR="0024003C" w:rsidRPr="0024003C" w:rsidRDefault="0024003C" w:rsidP="0024003C">
      <w:pPr>
        <w:pStyle w:val="ListNumber"/>
      </w:pPr>
      <w:proofErr w:type="gramStart"/>
      <w:r w:rsidRPr="0024003C">
        <w:rPr>
          <w:snapToGrid w:val="0"/>
          <w:lang w:eastAsia="fr-FR"/>
        </w:rPr>
        <w:t>curing</w:t>
      </w:r>
      <w:proofErr w:type="gramEnd"/>
      <w:r w:rsidRPr="0024003C">
        <w:rPr>
          <w:snapToGrid w:val="0"/>
          <w:lang w:eastAsia="fr-FR"/>
        </w:rPr>
        <w:t xml:space="preserve"> process, which should include: curing time, any relevant environmental factors and all provisions made to ensure that the curing process will proceed without disturbance.</w:t>
      </w:r>
    </w:p>
    <w:p w:rsidR="0024003C" w:rsidRPr="0024003C" w:rsidRDefault="0024003C" w:rsidP="0024003C">
      <w:pPr>
        <w:pStyle w:val="ANNEX-heading2"/>
      </w:pPr>
      <w:bookmarkStart w:id="41" w:name="_Toc240958173"/>
      <w:bookmarkStart w:id="42" w:name="_Toc384202600"/>
      <w:bookmarkStart w:id="43" w:name="_Toc384203985"/>
      <w:r w:rsidRPr="0024003C">
        <w:t>Assembling</w:t>
      </w:r>
      <w:bookmarkEnd w:id="41"/>
      <w:bookmarkEnd w:id="42"/>
      <w:bookmarkEnd w:id="43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4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correct components and parts;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distances between moving parts or between fixed and moving parts;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equipotential bonding between subassemblies;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mechanical seals;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proofErr w:type="gramStart"/>
      <w:r w:rsidRPr="0024003C">
        <w:rPr>
          <w:snapToGrid w:val="0"/>
          <w:lang w:eastAsia="fr-FR"/>
        </w:rPr>
        <w:t>protective</w:t>
      </w:r>
      <w:proofErr w:type="gramEnd"/>
      <w:r w:rsidRPr="0024003C">
        <w:rPr>
          <w:snapToGrid w:val="0"/>
          <w:lang w:eastAsia="fr-FR"/>
        </w:rPr>
        <w:t xml:space="preserve"> covers.</w:t>
      </w:r>
    </w:p>
    <w:p w:rsidR="0024003C" w:rsidRPr="0024003C" w:rsidRDefault="0024003C" w:rsidP="0024003C">
      <w:pPr>
        <w:pStyle w:val="ANNEX-heading2"/>
      </w:pPr>
      <w:bookmarkStart w:id="44" w:name="_Toc240958174"/>
      <w:bookmarkStart w:id="45" w:name="_Toc384202601"/>
      <w:bookmarkStart w:id="46" w:name="_Toc384203986"/>
      <w:r w:rsidRPr="0024003C">
        <w:t>Routine tests</w:t>
      </w:r>
      <w:bookmarkEnd w:id="44"/>
      <w:bookmarkEnd w:id="45"/>
      <w:bookmarkEnd w:id="46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3"/>
        </w:numPr>
        <w:rPr>
          <w:snapToGrid w:val="0"/>
          <w:lang w:eastAsia="fr-FR"/>
        </w:rPr>
      </w:pPr>
      <w:r w:rsidRPr="0024003C">
        <w:rPr>
          <w:snapToGrid w:val="0"/>
          <w:lang w:eastAsia="fr-FR"/>
        </w:rPr>
        <w:t>sealing systems (fit, lubrication, initial tension, primary pressure);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dynamic vibrations (e.g. critical rotation speed, bearing at standstill or at transport)</w:t>
      </w:r>
    </w:p>
    <w:p w:rsidR="0024003C" w:rsidRPr="0024003C" w:rsidRDefault="0024003C" w:rsidP="0024003C">
      <w:pPr>
        <w:pStyle w:val="ListNumber"/>
        <w:rPr>
          <w:snapToGrid w:val="0"/>
          <w:lang w:eastAsia="fr-FR"/>
        </w:rPr>
      </w:pPr>
      <w:r w:rsidRPr="0024003C">
        <w:rPr>
          <w:snapToGrid w:val="0"/>
          <w:lang w:eastAsia="fr-FR"/>
        </w:rPr>
        <w:t>functional test of the complete assembly (distance between rotor/stator modules, clamping, clearance, free room of motion)</w:t>
      </w:r>
    </w:p>
    <w:p w:rsidR="0024003C" w:rsidRPr="0024003C" w:rsidRDefault="0024003C" w:rsidP="0024003C">
      <w:pPr>
        <w:pStyle w:val="ANNEX-heading2"/>
      </w:pPr>
      <w:bookmarkStart w:id="47" w:name="_Toc240958175"/>
      <w:bookmarkStart w:id="48" w:name="_Toc384202602"/>
      <w:bookmarkStart w:id="49" w:name="_Toc384203987"/>
      <w:r w:rsidRPr="0024003C">
        <w:t>Power transmission systems</w:t>
      </w:r>
      <w:bookmarkEnd w:id="47"/>
      <w:bookmarkEnd w:id="48"/>
      <w:bookmarkEnd w:id="49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34"/>
        </w:numPr>
      </w:pPr>
      <w:r w:rsidRPr="0024003C">
        <w:t>conditions of the lubrication;</w:t>
      </w:r>
    </w:p>
    <w:p w:rsidR="0024003C" w:rsidRPr="0024003C" w:rsidRDefault="0024003C" w:rsidP="00353267">
      <w:pPr>
        <w:pStyle w:val="ListNumber"/>
        <w:tabs>
          <w:tab w:val="clear" w:pos="340"/>
          <w:tab w:val="num" w:pos="360"/>
        </w:tabs>
        <w:ind w:left="360" w:hanging="360"/>
      </w:pPr>
      <w:r w:rsidRPr="0024003C">
        <w:t>belt tension;</w:t>
      </w:r>
    </w:p>
    <w:p w:rsidR="0024003C" w:rsidRPr="0024003C" w:rsidRDefault="0024003C" w:rsidP="00353267">
      <w:pPr>
        <w:pStyle w:val="ListNumber"/>
        <w:tabs>
          <w:tab w:val="clear" w:pos="340"/>
          <w:tab w:val="num" w:pos="360"/>
        </w:tabs>
        <w:ind w:left="360" w:hanging="360"/>
      </w:pPr>
      <w:proofErr w:type="gramStart"/>
      <w:r w:rsidRPr="0024003C">
        <w:t>equipotential</w:t>
      </w:r>
      <w:proofErr w:type="gramEnd"/>
      <w:r w:rsidRPr="0024003C">
        <w:t xml:space="preserve"> bonding (especially couplings, belt drive</w:t>
      </w:r>
      <w:r w:rsidR="00A21B18">
        <w:t>s, chain drives, gears, shafts).</w:t>
      </w:r>
    </w:p>
    <w:p w:rsidR="0024003C" w:rsidRPr="0024003C" w:rsidRDefault="0024003C" w:rsidP="0024003C">
      <w:pPr>
        <w:pStyle w:val="ANNEX-heading1"/>
      </w:pPr>
      <w:bookmarkStart w:id="50" w:name="_Toc240958176"/>
      <w:bookmarkStart w:id="51" w:name="_Toc384202603"/>
      <w:bookmarkStart w:id="52" w:name="_Toc384203988"/>
      <w:r w:rsidRPr="0024003C">
        <w:t>Non Electrical Equipment protected by control of ignition sources “b” (ISO 80079-37)</w:t>
      </w:r>
      <w:bookmarkEnd w:id="50"/>
      <w:bookmarkEnd w:id="51"/>
      <w:bookmarkEnd w:id="52"/>
    </w:p>
    <w:p w:rsidR="0024003C" w:rsidRPr="0024003C" w:rsidRDefault="0024003C" w:rsidP="0024003C">
      <w:pPr>
        <w:pStyle w:val="ANNEX-heading2"/>
      </w:pPr>
      <w:bookmarkStart w:id="53" w:name="_Toc240958177"/>
      <w:bookmarkStart w:id="54" w:name="_Toc384202604"/>
      <w:bookmarkStart w:id="55" w:name="_Toc384203989"/>
      <w:r w:rsidRPr="0024003C">
        <w:t>General</w:t>
      </w:r>
      <w:bookmarkEnd w:id="53"/>
      <w:bookmarkEnd w:id="54"/>
      <w:bookmarkEnd w:id="55"/>
    </w:p>
    <w:p w:rsidR="0024003C" w:rsidRPr="0024003C" w:rsidRDefault="0024003C" w:rsidP="0024003C">
      <w:pPr>
        <w:snapToGrid w:val="0"/>
        <w:spacing w:before="100" w:after="200"/>
      </w:pPr>
      <w:r w:rsidRPr="0024003C">
        <w:t xml:space="preserve">Additional to the safety aspects for non-electrical equipment defined in </w:t>
      </w:r>
      <w:r w:rsidR="005A79AC">
        <w:t xml:space="preserve">A.10 of ISO/IEC 80079-34 Edition 1 </w:t>
      </w:r>
      <w:r w:rsidR="00955976">
        <w:fldChar w:fldCharType="begin"/>
      </w:r>
      <w:r w:rsidR="00955976">
        <w:instrText xml:space="preserve"> REF _Ref384199642 \r \h  \* MERGEFORMAT </w:instrText>
      </w:r>
      <w:r w:rsidR="00955976">
        <w:fldChar w:fldCharType="end"/>
      </w:r>
      <w:r w:rsidRPr="0024003C">
        <w:t>the following safety aspects are relevant.</w:t>
      </w:r>
    </w:p>
    <w:p w:rsidR="0024003C" w:rsidRPr="0024003C" w:rsidRDefault="0024003C" w:rsidP="0024003C">
      <w:pPr>
        <w:pStyle w:val="ANNEX-heading2"/>
      </w:pPr>
      <w:bookmarkStart w:id="56" w:name="_Toc240958178"/>
      <w:bookmarkStart w:id="57" w:name="_Toc384202605"/>
      <w:bookmarkStart w:id="58" w:name="_Toc384203990"/>
      <w:r w:rsidRPr="0024003C">
        <w:lastRenderedPageBreak/>
        <w:t>Ignition protection system</w:t>
      </w:r>
      <w:bookmarkEnd w:id="56"/>
      <w:bookmarkEnd w:id="57"/>
      <w:bookmarkEnd w:id="58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17"/>
        </w:numPr>
      </w:pPr>
      <w:r w:rsidRPr="0024003C">
        <w:t>selection of appropriate sensors, actuators and other relevant parts (e.g. temperature range);</w:t>
      </w:r>
    </w:p>
    <w:p w:rsidR="0024003C" w:rsidRPr="0024003C" w:rsidRDefault="0024003C" w:rsidP="00353267">
      <w:pPr>
        <w:pStyle w:val="ListNumber"/>
        <w:numPr>
          <w:ilvl w:val="0"/>
          <w:numId w:val="17"/>
        </w:numPr>
      </w:pPr>
      <w:r w:rsidRPr="0024003C">
        <w:t>indicating devices marked to indicate the maximum and minimum operating levels;</w:t>
      </w:r>
    </w:p>
    <w:p w:rsidR="0024003C" w:rsidRPr="0024003C" w:rsidRDefault="0024003C" w:rsidP="00353267">
      <w:pPr>
        <w:pStyle w:val="ListNumber"/>
        <w:numPr>
          <w:ilvl w:val="0"/>
          <w:numId w:val="17"/>
        </w:numPr>
      </w:pPr>
      <w:proofErr w:type="gramStart"/>
      <w:r w:rsidRPr="0024003C">
        <w:t>specification</w:t>
      </w:r>
      <w:proofErr w:type="gramEnd"/>
      <w:r w:rsidRPr="0024003C">
        <w:t xml:space="preserve"> of tests and all other necessary information in the instructions.</w:t>
      </w:r>
    </w:p>
    <w:p w:rsidR="0024003C" w:rsidRPr="0024003C" w:rsidRDefault="0024003C" w:rsidP="0024003C">
      <w:pPr>
        <w:pStyle w:val="ANNEX-heading2"/>
      </w:pPr>
      <w:bookmarkStart w:id="59" w:name="_Toc240958179"/>
      <w:bookmarkStart w:id="60" w:name="_Toc384202606"/>
      <w:bookmarkStart w:id="61" w:name="_Toc384203991"/>
      <w:r w:rsidRPr="0024003C">
        <w:t>Installation</w:t>
      </w:r>
      <w:bookmarkEnd w:id="59"/>
      <w:bookmarkEnd w:id="60"/>
      <w:bookmarkEnd w:id="61"/>
    </w:p>
    <w:p w:rsidR="0024003C" w:rsidRPr="0024003C" w:rsidRDefault="0024003C" w:rsidP="0024003C">
      <w:pPr>
        <w:pStyle w:val="PARAGRAPH"/>
      </w:pPr>
      <w:r w:rsidRPr="0024003C">
        <w:t>The following parts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18"/>
        </w:numPr>
      </w:pPr>
      <w:r w:rsidRPr="0024003C">
        <w:t>installation of sensors and actuators (fail safe characteristics, separate power supply);</w:t>
      </w:r>
    </w:p>
    <w:p w:rsidR="0024003C" w:rsidRPr="0024003C" w:rsidRDefault="0024003C" w:rsidP="00353267">
      <w:pPr>
        <w:pStyle w:val="ListNumber"/>
        <w:numPr>
          <w:ilvl w:val="0"/>
          <w:numId w:val="18"/>
        </w:numPr>
      </w:pPr>
      <w:r w:rsidRPr="0024003C">
        <w:t>connection installation of sensors (e.g. offset)</w:t>
      </w:r>
    </w:p>
    <w:p w:rsidR="0024003C" w:rsidRPr="0024003C" w:rsidRDefault="0024003C" w:rsidP="00353267">
      <w:pPr>
        <w:pStyle w:val="ListNumber"/>
        <w:numPr>
          <w:ilvl w:val="0"/>
          <w:numId w:val="18"/>
        </w:numPr>
      </w:pPr>
      <w:r w:rsidRPr="0024003C">
        <w:t>position of sensors;</w:t>
      </w:r>
    </w:p>
    <w:p w:rsidR="0024003C" w:rsidRPr="0024003C" w:rsidRDefault="0024003C" w:rsidP="00353267">
      <w:pPr>
        <w:pStyle w:val="ListNumber"/>
        <w:numPr>
          <w:ilvl w:val="0"/>
          <w:numId w:val="18"/>
        </w:numPr>
      </w:pPr>
      <w:r w:rsidRPr="0024003C">
        <w:t>correct interfacing;</w:t>
      </w:r>
    </w:p>
    <w:p w:rsidR="0024003C" w:rsidRPr="0024003C" w:rsidRDefault="0024003C" w:rsidP="00353267">
      <w:pPr>
        <w:pStyle w:val="ListNumber"/>
        <w:numPr>
          <w:ilvl w:val="0"/>
          <w:numId w:val="18"/>
        </w:numPr>
      </w:pPr>
      <w:r w:rsidRPr="0024003C">
        <w:t>avoidance of delay elements;</w:t>
      </w:r>
    </w:p>
    <w:p w:rsidR="0024003C" w:rsidRPr="0024003C" w:rsidRDefault="0024003C" w:rsidP="00353267">
      <w:pPr>
        <w:pStyle w:val="ListNumber"/>
        <w:numPr>
          <w:ilvl w:val="0"/>
          <w:numId w:val="18"/>
        </w:numPr>
      </w:pPr>
      <w:r w:rsidRPr="0024003C">
        <w:t>avoidance of unintended modification of set values;</w:t>
      </w:r>
    </w:p>
    <w:p w:rsidR="0024003C" w:rsidRPr="0024003C" w:rsidRDefault="0024003C" w:rsidP="00353267">
      <w:pPr>
        <w:pStyle w:val="ListNumber"/>
        <w:numPr>
          <w:ilvl w:val="0"/>
          <w:numId w:val="18"/>
        </w:numPr>
      </w:pPr>
      <w:proofErr w:type="gramStart"/>
      <w:r w:rsidRPr="0024003C">
        <w:t>independent</w:t>
      </w:r>
      <w:proofErr w:type="gramEnd"/>
      <w:r w:rsidRPr="0024003C">
        <w:t xml:space="preserve"> power supply.</w:t>
      </w:r>
    </w:p>
    <w:p w:rsidR="0024003C" w:rsidRPr="0024003C" w:rsidRDefault="0024003C" w:rsidP="0024003C">
      <w:pPr>
        <w:pStyle w:val="ANNEX-heading2"/>
      </w:pPr>
      <w:bookmarkStart w:id="62" w:name="_Toc240958180"/>
      <w:bookmarkStart w:id="63" w:name="_Toc384202607"/>
      <w:bookmarkStart w:id="64" w:name="_Toc384203992"/>
      <w:r w:rsidRPr="0024003C">
        <w:t>Tests</w:t>
      </w:r>
      <w:bookmarkEnd w:id="62"/>
      <w:bookmarkEnd w:id="63"/>
      <w:bookmarkEnd w:id="64"/>
    </w:p>
    <w:p w:rsidR="0024003C" w:rsidRPr="0024003C" w:rsidRDefault="0024003C" w:rsidP="0024003C">
      <w:pPr>
        <w:pStyle w:val="PARAGRAPH"/>
      </w:pPr>
      <w:r w:rsidRPr="0024003C">
        <w:t xml:space="preserve">Typically, the following tests and verifications should be done at the </w:t>
      </w:r>
      <w:proofErr w:type="gramStart"/>
      <w:r w:rsidRPr="0024003C">
        <w:t>manufacturers</w:t>
      </w:r>
      <w:proofErr w:type="gramEnd"/>
      <w:r w:rsidRPr="0024003C">
        <w:t xml:space="preserve"> site. If the ignition protection system is assembled during installation at the </w:t>
      </w:r>
      <w:proofErr w:type="gramStart"/>
      <w:r w:rsidRPr="0024003C">
        <w:t>users</w:t>
      </w:r>
      <w:proofErr w:type="gramEnd"/>
      <w:r w:rsidRPr="0024003C">
        <w:t xml:space="preserve"> site, the instruction should give specific guidance how to carry out these tests.</w:t>
      </w:r>
    </w:p>
    <w:p w:rsidR="0024003C" w:rsidRPr="0024003C" w:rsidRDefault="0024003C" w:rsidP="0024003C">
      <w:pPr>
        <w:pStyle w:val="PARAGRAPH"/>
      </w:pPr>
      <w:r w:rsidRPr="0024003C">
        <w:t>The following tests should be performed in order to demonstrate conformity, e.g.:</w:t>
      </w:r>
    </w:p>
    <w:p w:rsidR="0024003C" w:rsidRPr="0024003C" w:rsidRDefault="0024003C" w:rsidP="00353267">
      <w:pPr>
        <w:pStyle w:val="ListNumber"/>
        <w:numPr>
          <w:ilvl w:val="0"/>
          <w:numId w:val="19"/>
        </w:numPr>
      </w:pPr>
      <w:r w:rsidRPr="0024003C">
        <w:t>tests before initial operation or specification of these tests in the instructions;</w:t>
      </w:r>
    </w:p>
    <w:p w:rsidR="0024003C" w:rsidRPr="0024003C" w:rsidRDefault="0024003C" w:rsidP="00353267">
      <w:pPr>
        <w:pStyle w:val="ListNumber"/>
        <w:numPr>
          <w:ilvl w:val="0"/>
          <w:numId w:val="19"/>
        </w:numPr>
      </w:pPr>
      <w:r w:rsidRPr="0024003C">
        <w:t>functioning;</w:t>
      </w:r>
    </w:p>
    <w:p w:rsidR="0024003C" w:rsidRPr="0024003C" w:rsidRDefault="0024003C" w:rsidP="00353267">
      <w:pPr>
        <w:pStyle w:val="ListNumber"/>
        <w:numPr>
          <w:ilvl w:val="0"/>
          <w:numId w:val="19"/>
        </w:numPr>
      </w:pPr>
      <w:r w:rsidRPr="0024003C">
        <w:t>accuracy;</w:t>
      </w:r>
    </w:p>
    <w:p w:rsidR="0024003C" w:rsidRPr="0024003C" w:rsidRDefault="0024003C" w:rsidP="00353267">
      <w:pPr>
        <w:pStyle w:val="ListNumber"/>
        <w:numPr>
          <w:ilvl w:val="0"/>
          <w:numId w:val="19"/>
        </w:numPr>
      </w:pPr>
      <w:r w:rsidRPr="0024003C">
        <w:t>response behaviour;</w:t>
      </w:r>
    </w:p>
    <w:p w:rsidR="0024003C" w:rsidRPr="0024003C" w:rsidRDefault="0024003C" w:rsidP="00353267">
      <w:pPr>
        <w:pStyle w:val="ListNumber"/>
        <w:numPr>
          <w:ilvl w:val="0"/>
          <w:numId w:val="19"/>
        </w:numPr>
      </w:pPr>
      <w:r w:rsidRPr="0024003C">
        <w:t>fail-safe;</w:t>
      </w:r>
    </w:p>
    <w:p w:rsidR="0024003C" w:rsidRPr="0024003C" w:rsidRDefault="0024003C" w:rsidP="00353267">
      <w:pPr>
        <w:pStyle w:val="ListNumber"/>
        <w:numPr>
          <w:ilvl w:val="0"/>
          <w:numId w:val="19"/>
        </w:numPr>
      </w:pPr>
      <w:r w:rsidRPr="0024003C">
        <w:t>interlocking of settings;</w:t>
      </w:r>
    </w:p>
    <w:p w:rsidR="0024003C" w:rsidRPr="0024003C" w:rsidRDefault="0024003C" w:rsidP="00353267">
      <w:pPr>
        <w:pStyle w:val="ListNumber"/>
        <w:numPr>
          <w:ilvl w:val="0"/>
          <w:numId w:val="19"/>
        </w:numPr>
      </w:pPr>
      <w:proofErr w:type="gramStart"/>
      <w:r w:rsidRPr="0024003C">
        <w:t>specification</w:t>
      </w:r>
      <w:proofErr w:type="gramEnd"/>
      <w:r w:rsidRPr="0024003C">
        <w:t xml:space="preserve"> of tests in the course of maintenance in the instructions.</w:t>
      </w:r>
    </w:p>
    <w:p w:rsidR="0024003C" w:rsidRPr="0024003C" w:rsidRDefault="0024003C" w:rsidP="0024003C">
      <w:pPr>
        <w:pStyle w:val="ANNEX-heading1"/>
      </w:pPr>
      <w:bookmarkStart w:id="65" w:name="_Toc240958182"/>
      <w:bookmarkStart w:id="66" w:name="_Toc384202608"/>
      <w:bookmarkStart w:id="67" w:name="_Toc384203993"/>
      <w:r w:rsidRPr="0024003C">
        <w:t xml:space="preserve">Non Electrical Equipment protected by liquid immersion “k” </w:t>
      </w:r>
      <w:r w:rsidRPr="0024003C">
        <w:br/>
        <w:t>(ISO 80079-37)</w:t>
      </w:r>
      <w:bookmarkEnd w:id="65"/>
      <w:bookmarkEnd w:id="66"/>
      <w:bookmarkEnd w:id="67"/>
    </w:p>
    <w:p w:rsidR="0024003C" w:rsidRPr="0024003C" w:rsidRDefault="0024003C" w:rsidP="0024003C">
      <w:pPr>
        <w:pStyle w:val="ANNEX-heading2"/>
      </w:pPr>
      <w:bookmarkStart w:id="68" w:name="_Toc240958183"/>
      <w:bookmarkStart w:id="69" w:name="_Toc384202609"/>
      <w:bookmarkStart w:id="70" w:name="_Toc384203994"/>
      <w:r w:rsidRPr="0024003C">
        <w:t>General</w:t>
      </w:r>
      <w:bookmarkEnd w:id="68"/>
      <w:bookmarkEnd w:id="69"/>
      <w:bookmarkEnd w:id="70"/>
    </w:p>
    <w:p w:rsidR="0024003C" w:rsidRPr="0024003C" w:rsidRDefault="0024003C" w:rsidP="0024003C">
      <w:pPr>
        <w:pStyle w:val="PARAGRAPH"/>
      </w:pPr>
      <w:r w:rsidRPr="0024003C">
        <w:t xml:space="preserve">Additional to the safety aspects for non-electrical equipment defined in </w:t>
      </w:r>
      <w:r w:rsidR="005A79AC">
        <w:t xml:space="preserve">A.10 of ISO/IEC 80079-34 Edition 1 </w:t>
      </w:r>
      <w:r w:rsidRPr="0024003C">
        <w:t>the following safety aspects are relevant.</w:t>
      </w:r>
    </w:p>
    <w:p w:rsidR="0024003C" w:rsidRPr="0024003C" w:rsidRDefault="0024003C" w:rsidP="0024003C">
      <w:pPr>
        <w:pStyle w:val="ANNEX-heading2"/>
      </w:pPr>
      <w:bookmarkStart w:id="71" w:name="_Toc240958184"/>
      <w:bookmarkStart w:id="72" w:name="_Toc384202610"/>
      <w:bookmarkStart w:id="73" w:name="_Toc384203995"/>
      <w:r w:rsidRPr="0024003C">
        <w:t>Protective liquid</w:t>
      </w:r>
      <w:bookmarkEnd w:id="71"/>
      <w:bookmarkEnd w:id="72"/>
      <w:bookmarkEnd w:id="73"/>
    </w:p>
    <w:p w:rsidR="0024003C" w:rsidRPr="0024003C" w:rsidRDefault="0024003C" w:rsidP="0024003C">
      <w:pPr>
        <w:pStyle w:val="PARAGRAPH"/>
      </w:pPr>
      <w:r w:rsidRPr="0024003C">
        <w:t>The following features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0"/>
        </w:numPr>
      </w:pPr>
      <w:r w:rsidRPr="0024003C">
        <w:t>type of the liquid;</w:t>
      </w:r>
    </w:p>
    <w:p w:rsidR="0024003C" w:rsidRPr="0024003C" w:rsidRDefault="0024003C" w:rsidP="00353267">
      <w:pPr>
        <w:pStyle w:val="ListNumber"/>
        <w:numPr>
          <w:ilvl w:val="0"/>
          <w:numId w:val="20"/>
        </w:numPr>
      </w:pPr>
      <w:proofErr w:type="gramStart"/>
      <w:r w:rsidRPr="0024003C">
        <w:rPr>
          <w:lang w:eastAsia="zh-TW"/>
        </w:rPr>
        <w:t>liquid</w:t>
      </w:r>
      <w:proofErr w:type="gramEnd"/>
      <w:r w:rsidRPr="0024003C">
        <w:rPr>
          <w:lang w:eastAsia="zh-TW"/>
        </w:rPr>
        <w:t xml:space="preserve"> level or flow rate or</w:t>
      </w:r>
      <w:r w:rsidRPr="0024003C">
        <w:t xml:space="preserve"> </w:t>
      </w:r>
      <w:r w:rsidRPr="0024003C">
        <w:rPr>
          <w:lang w:eastAsia="zh-TW"/>
        </w:rPr>
        <w:t>pressure</w:t>
      </w:r>
      <w:r w:rsidRPr="0024003C">
        <w:t xml:space="preserve"> (depending on the system).</w:t>
      </w:r>
    </w:p>
    <w:p w:rsidR="0024003C" w:rsidRPr="0024003C" w:rsidRDefault="0024003C" w:rsidP="0024003C">
      <w:pPr>
        <w:pStyle w:val="ANNEX-heading2"/>
      </w:pPr>
      <w:bookmarkStart w:id="74" w:name="_Toc240958185"/>
      <w:bookmarkStart w:id="75" w:name="_Toc384202611"/>
      <w:bookmarkStart w:id="76" w:name="_Toc384203996"/>
      <w:r w:rsidRPr="0024003C">
        <w:lastRenderedPageBreak/>
        <w:t>Casing</w:t>
      </w:r>
      <w:bookmarkEnd w:id="74"/>
      <w:bookmarkEnd w:id="75"/>
      <w:bookmarkEnd w:id="76"/>
    </w:p>
    <w:p w:rsidR="0024003C" w:rsidRPr="0024003C" w:rsidRDefault="0024003C" w:rsidP="0024003C">
      <w:pPr>
        <w:pStyle w:val="PARAGRAPH"/>
      </w:pPr>
      <w:r w:rsidRPr="0024003C">
        <w:t>The following items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1"/>
        </w:numPr>
      </w:pPr>
      <w:r w:rsidRPr="0024003C">
        <w:t>leak tightness of the protective liquid closed loop;</w:t>
      </w:r>
    </w:p>
    <w:p w:rsidR="0024003C" w:rsidRPr="0024003C" w:rsidRDefault="0024003C" w:rsidP="00353267">
      <w:pPr>
        <w:pStyle w:val="ListNumber"/>
        <w:numPr>
          <w:ilvl w:val="0"/>
          <w:numId w:val="21"/>
        </w:numPr>
      </w:pPr>
      <w:r w:rsidRPr="0024003C">
        <w:t>protections against unintentional or inadvertent of fastenings;</w:t>
      </w:r>
    </w:p>
    <w:p w:rsidR="0024003C" w:rsidRPr="0024003C" w:rsidRDefault="0024003C" w:rsidP="00353267">
      <w:pPr>
        <w:pStyle w:val="ListNumber"/>
        <w:numPr>
          <w:ilvl w:val="0"/>
          <w:numId w:val="21"/>
        </w:numPr>
      </w:pPr>
      <w:proofErr w:type="gramStart"/>
      <w:r w:rsidRPr="0024003C">
        <w:t>measures</w:t>
      </w:r>
      <w:proofErr w:type="gramEnd"/>
      <w:r w:rsidRPr="0024003C">
        <w:t xml:space="preserve"> against protective liquid impurity.</w:t>
      </w:r>
    </w:p>
    <w:p w:rsidR="0024003C" w:rsidRPr="0024003C" w:rsidRDefault="0024003C" w:rsidP="0024003C">
      <w:pPr>
        <w:pStyle w:val="ANNEX-heading2"/>
      </w:pPr>
      <w:bookmarkStart w:id="77" w:name="_Toc240958186"/>
      <w:bookmarkStart w:id="78" w:name="_Toc384202612"/>
      <w:bookmarkStart w:id="79" w:name="_Toc384203997"/>
      <w:r w:rsidRPr="0024003C">
        <w:t>Measuring or indicating devices</w:t>
      </w:r>
      <w:bookmarkEnd w:id="77"/>
      <w:bookmarkEnd w:id="78"/>
      <w:bookmarkEnd w:id="79"/>
    </w:p>
    <w:p w:rsidR="0024003C" w:rsidRPr="0024003C" w:rsidRDefault="0024003C" w:rsidP="0024003C">
      <w:pPr>
        <w:pStyle w:val="PARAGRAPH"/>
      </w:pPr>
      <w:r w:rsidRPr="0024003C">
        <w:t>The following features should be subject to verification that demonstrates conformity, e.g.:</w:t>
      </w:r>
    </w:p>
    <w:p w:rsidR="0024003C" w:rsidRPr="0024003C" w:rsidRDefault="0024003C" w:rsidP="00353267">
      <w:pPr>
        <w:pStyle w:val="ListNumber"/>
        <w:numPr>
          <w:ilvl w:val="0"/>
          <w:numId w:val="22"/>
        </w:numPr>
      </w:pPr>
      <w:r w:rsidRPr="0024003C">
        <w:t>dipstick;</w:t>
      </w:r>
    </w:p>
    <w:p w:rsidR="0024003C" w:rsidRPr="0024003C" w:rsidRDefault="0024003C" w:rsidP="00353267">
      <w:pPr>
        <w:pStyle w:val="ListNumber"/>
        <w:numPr>
          <w:ilvl w:val="0"/>
          <w:numId w:val="22"/>
        </w:numPr>
      </w:pPr>
      <w:r w:rsidRPr="0024003C">
        <w:t>marking of maximum/minimum criteria for the protective liquid level;</w:t>
      </w:r>
    </w:p>
    <w:p w:rsidR="0024003C" w:rsidRPr="0024003C" w:rsidRDefault="0024003C" w:rsidP="00353267">
      <w:pPr>
        <w:pStyle w:val="ListNumber"/>
        <w:numPr>
          <w:ilvl w:val="0"/>
          <w:numId w:val="22"/>
        </w:numPr>
      </w:pPr>
      <w:proofErr w:type="gramStart"/>
      <w:r w:rsidRPr="0024003C">
        <w:t>marking</w:t>
      </w:r>
      <w:proofErr w:type="gramEnd"/>
      <w:r w:rsidRPr="0024003C">
        <w:t xml:space="preserve"> of maximum permissible angle of inclination.</w:t>
      </w:r>
    </w:p>
    <w:sectPr w:rsidR="0024003C" w:rsidRPr="0024003C" w:rsidSect="00B7688B"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76" w:rsidRDefault="00955976">
      <w:r>
        <w:separator/>
      </w:r>
    </w:p>
  </w:endnote>
  <w:endnote w:type="continuationSeparator" w:id="0">
    <w:p w:rsidR="00955976" w:rsidRDefault="0095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8" w:rsidRDefault="004F28B8">
    <w:pPr>
      <w:pStyle w:val="Footer"/>
    </w:pPr>
    <w:r>
      <w:rPr>
        <w:b/>
        <w:color w:val="000000"/>
        <w:sz w:val="24"/>
      </w:rPr>
      <w:t xml:space="preserve">Page </w:t>
    </w:r>
    <w:r>
      <w:rPr>
        <w:rStyle w:val="PageNumber"/>
        <w:color w:val="000000"/>
        <w:sz w:val="24"/>
      </w:rPr>
      <w:fldChar w:fldCharType="begin"/>
    </w:r>
    <w:r>
      <w:rPr>
        <w:rStyle w:val="PageNumber"/>
        <w:color w:val="000000"/>
        <w:sz w:val="24"/>
      </w:rPr>
      <w:instrText xml:space="preserve"> PAGE </w:instrText>
    </w:r>
    <w:r>
      <w:rPr>
        <w:rStyle w:val="PageNumber"/>
        <w:color w:val="000000"/>
        <w:sz w:val="24"/>
      </w:rPr>
      <w:fldChar w:fldCharType="separate"/>
    </w:r>
    <w:r w:rsidR="00813898">
      <w:rPr>
        <w:rStyle w:val="PageNumber"/>
        <w:noProof/>
        <w:color w:val="000000"/>
        <w:sz w:val="24"/>
      </w:rPr>
      <w:t>1</w:t>
    </w:r>
    <w:r>
      <w:rPr>
        <w:rStyle w:val="PageNumber"/>
        <w:color w:val="000000"/>
        <w:sz w:val="24"/>
      </w:rPr>
      <w:fldChar w:fldCharType="end"/>
    </w:r>
    <w:r>
      <w:rPr>
        <w:rStyle w:val="PageNumber"/>
        <w:color w:val="000000"/>
        <w:sz w:val="24"/>
      </w:rPr>
      <w:t xml:space="preserve"> of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NUMPAGES </w:instrText>
    </w:r>
    <w:r>
      <w:rPr>
        <w:rStyle w:val="PageNumber"/>
        <w:sz w:val="24"/>
      </w:rPr>
      <w:fldChar w:fldCharType="separate"/>
    </w:r>
    <w:r w:rsidR="00813898">
      <w:rPr>
        <w:rStyle w:val="PageNumber"/>
        <w:noProof/>
        <w:sz w:val="24"/>
      </w:rPr>
      <w:t>8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76" w:rsidRDefault="00955976">
      <w:r>
        <w:separator/>
      </w:r>
    </w:p>
  </w:footnote>
  <w:footnote w:type="continuationSeparator" w:id="0">
    <w:p w:rsidR="00955976" w:rsidRDefault="0095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Ind w:w="-387" w:type="dxa"/>
      <w:tblLayout w:type="fixed"/>
      <w:tblLook w:val="0000" w:firstRow="0" w:lastRow="0" w:firstColumn="0" w:lastColumn="0" w:noHBand="0" w:noVBand="0"/>
    </w:tblPr>
    <w:tblGrid>
      <w:gridCol w:w="3936"/>
      <w:gridCol w:w="6482"/>
    </w:tblGrid>
    <w:tr w:rsidR="00757E47" w:rsidTr="004F28B8">
      <w:trPr>
        <w:cantSplit/>
      </w:trPr>
      <w:tc>
        <w:tcPr>
          <w:tcW w:w="3936" w:type="dxa"/>
        </w:tcPr>
        <w:p w:rsidR="00757E47" w:rsidRDefault="00C43E58">
          <w:pPr>
            <w:tabs>
              <w:tab w:val="left" w:pos="-1415"/>
              <w:tab w:val="left" w:pos="-708"/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5986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</w:tabs>
            <w:suppressAutoHyphens/>
            <w:spacing w:before="80" w:after="80"/>
            <w:rPr>
              <w:b/>
              <w:color w:val="0000FF"/>
              <w:kern w:val="4"/>
              <w:sz w:val="56"/>
            </w:rPr>
          </w:pPr>
          <w:r>
            <w:rPr>
              <w:noProof/>
              <w:color w:val="000099"/>
              <w:lang w:val="en-AU" w:eastAsia="en-AU"/>
            </w:rPr>
            <w:drawing>
              <wp:inline distT="0" distB="0" distL="0" distR="0">
                <wp:extent cx="1883410" cy="894080"/>
                <wp:effectExtent l="0" t="0" r="0" b="0"/>
                <wp:docPr id="1" name="Picture 1" descr="IECE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ECE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410" cy="89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7E47" w:rsidRDefault="00757E47">
          <w:pPr>
            <w:pStyle w:val="PlainText"/>
            <w:rPr>
              <w:rFonts w:ascii="Arial" w:hAnsi="Arial"/>
              <w:sz w:val="24"/>
            </w:rPr>
          </w:pPr>
        </w:p>
      </w:tc>
      <w:tc>
        <w:tcPr>
          <w:tcW w:w="6482" w:type="dxa"/>
        </w:tcPr>
        <w:p w:rsidR="004F28B8" w:rsidRDefault="004F28B8">
          <w:pPr>
            <w:pStyle w:val="PlainText"/>
            <w:jc w:val="right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>ExMC/</w:t>
          </w:r>
          <w:r w:rsidR="00EA7DA3">
            <w:rPr>
              <w:rFonts w:ascii="Arial" w:hAnsi="Arial"/>
              <w:b/>
              <w:color w:val="000000"/>
              <w:sz w:val="24"/>
            </w:rPr>
            <w:t>1032</w:t>
          </w:r>
          <w:r>
            <w:rPr>
              <w:rFonts w:ascii="Arial" w:hAnsi="Arial"/>
              <w:b/>
              <w:color w:val="000000"/>
              <w:sz w:val="24"/>
            </w:rPr>
            <w:t>/CD</w:t>
          </w:r>
        </w:p>
        <w:p w:rsidR="00757E47" w:rsidRDefault="004F28B8">
          <w:pPr>
            <w:pStyle w:val="PlainText"/>
            <w:jc w:val="right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 xml:space="preserve">Draft </w:t>
          </w:r>
          <w:r w:rsidR="00A9010A">
            <w:rPr>
              <w:rFonts w:ascii="Arial" w:hAnsi="Arial"/>
              <w:b/>
              <w:color w:val="000000"/>
              <w:sz w:val="24"/>
            </w:rPr>
            <w:t>OD005</w:t>
          </w:r>
          <w:r w:rsidR="00700DAC">
            <w:rPr>
              <w:rFonts w:ascii="Arial" w:hAnsi="Arial"/>
              <w:b/>
              <w:color w:val="000000"/>
              <w:sz w:val="24"/>
            </w:rPr>
            <w:t>-3</w:t>
          </w:r>
        </w:p>
        <w:p w:rsidR="00757E47" w:rsidRDefault="004F28B8">
          <w:pPr>
            <w:pStyle w:val="PlainText"/>
            <w:jc w:val="right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 xml:space="preserve">June </w:t>
          </w:r>
          <w:r w:rsidR="00C43E58">
            <w:rPr>
              <w:rFonts w:ascii="Arial" w:hAnsi="Arial"/>
              <w:b/>
              <w:color w:val="000000"/>
              <w:sz w:val="24"/>
            </w:rPr>
            <w:t>2015</w:t>
          </w:r>
        </w:p>
        <w:p w:rsidR="008410E1" w:rsidRDefault="008410E1">
          <w:pPr>
            <w:pStyle w:val="PlainText"/>
            <w:jc w:val="right"/>
            <w:rPr>
              <w:rFonts w:ascii="Arial" w:hAnsi="Arial"/>
              <w:b/>
              <w:color w:val="000000"/>
              <w:sz w:val="24"/>
            </w:rPr>
          </w:pPr>
        </w:p>
        <w:p w:rsidR="00757E47" w:rsidRDefault="00757E47" w:rsidP="004F28B8">
          <w:pPr>
            <w:pStyle w:val="PlainText"/>
            <w:jc w:val="left"/>
            <w:rPr>
              <w:rFonts w:ascii="Arial" w:hAnsi="Arial"/>
              <w:b/>
              <w:color w:val="000000"/>
            </w:rPr>
          </w:pPr>
        </w:p>
      </w:tc>
    </w:tr>
  </w:tbl>
  <w:p w:rsidR="00757E47" w:rsidRDefault="00757E47">
    <w:pPr>
      <w:pStyle w:val="Header"/>
      <w:ind w:right="-133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9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0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3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8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2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6"/>
  </w:num>
  <w:num w:numId="5">
    <w:abstractNumId w:val="23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2"/>
  </w:num>
  <w:num w:numId="11">
    <w:abstractNumId w:val="10"/>
  </w:num>
  <w:num w:numId="12">
    <w:abstractNumId w:val="9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</w:num>
  <w:num w:numId="36">
    <w:abstractNumId w:val="9"/>
  </w:num>
  <w:num w:numId="37">
    <w:abstractNumId w:val="8"/>
  </w:num>
  <w:num w:numId="38">
    <w:abstractNumId w:val="0"/>
  </w:num>
  <w:num w:numId="39">
    <w:abstractNumId w:val="17"/>
  </w:num>
  <w:num w:numId="40">
    <w:abstractNumId w:val="22"/>
  </w:num>
  <w:num w:numId="41">
    <w:abstractNumId w:val="16"/>
  </w:num>
  <w:num w:numId="42">
    <w:abstractNumId w:val="19"/>
  </w:num>
  <w:num w:numId="43">
    <w:abstractNumId w:val="15"/>
  </w:num>
  <w:num w:numId="44">
    <w:abstractNumId w:val="1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45">
    <w:abstractNumId w:val="1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46">
    <w:abstractNumId w:val="1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47">
    <w:abstractNumId w:val="13"/>
  </w:num>
  <w:num w:numId="48">
    <w:abstractNumId w:val="7"/>
  </w:num>
  <w:num w:numId="49">
    <w:abstractNumId w:val="20"/>
  </w:num>
  <w:num w:numId="50">
    <w:abstractNumId w:val="1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drawingGridHorizontalSpacing w:val="104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8"/>
    <w:rsid w:val="001828A0"/>
    <w:rsid w:val="0024003C"/>
    <w:rsid w:val="00353267"/>
    <w:rsid w:val="00373B36"/>
    <w:rsid w:val="00404296"/>
    <w:rsid w:val="00485C9A"/>
    <w:rsid w:val="004F28B8"/>
    <w:rsid w:val="005219B6"/>
    <w:rsid w:val="005A79AC"/>
    <w:rsid w:val="0064580E"/>
    <w:rsid w:val="00700DAC"/>
    <w:rsid w:val="00757E47"/>
    <w:rsid w:val="00785AC9"/>
    <w:rsid w:val="00813898"/>
    <w:rsid w:val="008410E1"/>
    <w:rsid w:val="008F4578"/>
    <w:rsid w:val="00955976"/>
    <w:rsid w:val="009974E1"/>
    <w:rsid w:val="009F353F"/>
    <w:rsid w:val="00A21B18"/>
    <w:rsid w:val="00A9010A"/>
    <w:rsid w:val="00B66D8C"/>
    <w:rsid w:val="00B7688B"/>
    <w:rsid w:val="00BF09E0"/>
    <w:rsid w:val="00C43E58"/>
    <w:rsid w:val="00C57E96"/>
    <w:rsid w:val="00EA7DA3"/>
    <w:rsid w:val="00F23203"/>
    <w:rsid w:val="00F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05671A6-C582-447C-A6D5-4EAB2B8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78"/>
    <w:pPr>
      <w:jc w:val="both"/>
    </w:pPr>
    <w:rPr>
      <w:rFonts w:ascii="Arial" w:hAnsi="Arial" w:cs="Arial"/>
      <w:spacing w:val="8"/>
      <w:lang w:val="en-GB"/>
    </w:rPr>
  </w:style>
  <w:style w:type="paragraph" w:styleId="Heading1">
    <w:name w:val="heading 1"/>
    <w:basedOn w:val="PARAGRAPH"/>
    <w:next w:val="PARAGRAPH"/>
    <w:qFormat/>
    <w:rsid w:val="008F4578"/>
    <w:pPr>
      <w:keepNext/>
      <w:numPr>
        <w:numId w:val="50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8F4578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8F4578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qFormat/>
    <w:rsid w:val="008F4578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8F4578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8F4578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8F4578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8F4578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8F457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">
    <w:name w:val="Definition"/>
    <w:basedOn w:val="Normal"/>
    <w:rsid w:val="00757E47"/>
    <w:pPr>
      <w:spacing w:line="260" w:lineRule="exact"/>
    </w:pPr>
    <w:rPr>
      <w:rFonts w:ascii="Helvetica" w:hAnsi="Helvetica"/>
      <w:b/>
      <w:sz w:val="23"/>
    </w:rPr>
  </w:style>
  <w:style w:type="character" w:styleId="PageNumber">
    <w:name w:val="page number"/>
    <w:uiPriority w:val="29"/>
    <w:unhideWhenUsed/>
    <w:rsid w:val="008F4578"/>
    <w:rPr>
      <w:rFonts w:ascii="Arial" w:hAnsi="Arial"/>
      <w:sz w:val="20"/>
      <w:szCs w:val="20"/>
    </w:rPr>
  </w:style>
  <w:style w:type="paragraph" w:styleId="Title">
    <w:name w:val="Title"/>
    <w:basedOn w:val="MAIN-TITLE"/>
    <w:qFormat/>
    <w:rsid w:val="008F4578"/>
    <w:rPr>
      <w:kern w:val="28"/>
    </w:rPr>
  </w:style>
  <w:style w:type="paragraph" w:styleId="PlainText">
    <w:name w:val="Plain Text"/>
    <w:basedOn w:val="Normal"/>
    <w:semiHidden/>
    <w:rsid w:val="00757E47"/>
    <w:rPr>
      <w:rFonts w:ascii="Courier New" w:hAnsi="Courier New"/>
      <w:lang w:val="en-US"/>
    </w:rPr>
  </w:style>
  <w:style w:type="character" w:styleId="Hyperlink">
    <w:name w:val="Hyperlink"/>
    <w:uiPriority w:val="99"/>
    <w:rsid w:val="008F4578"/>
    <w:rPr>
      <w:color w:val="0000FF"/>
      <w:u w:val="single"/>
    </w:rPr>
  </w:style>
  <w:style w:type="paragraph" w:customStyle="1" w:styleId="Formatvorlage1">
    <w:name w:val="Formatvorlage1"/>
    <w:basedOn w:val="Heading4"/>
    <w:rsid w:val="00757E47"/>
    <w:pPr>
      <w:outlineLvl w:val="9"/>
    </w:pPr>
    <w:rPr>
      <w:i/>
    </w:rPr>
  </w:style>
  <w:style w:type="character" w:customStyle="1" w:styleId="h1">
    <w:name w:val="h1"/>
    <w:rsid w:val="00757E47"/>
    <w:rPr>
      <w:rFonts w:ascii="Helvetica" w:hAnsi="Helvetica"/>
      <w:b/>
      <w:sz w:val="23"/>
    </w:rPr>
  </w:style>
  <w:style w:type="character" w:customStyle="1" w:styleId="tabe">
    <w:name w:val="tabe"/>
    <w:rsid w:val="00757E47"/>
    <w:rPr>
      <w:rFonts w:ascii="Helvetica" w:hAnsi="Helvetica"/>
      <w:b/>
      <w:sz w:val="19"/>
    </w:rPr>
  </w:style>
  <w:style w:type="paragraph" w:styleId="ListBullet">
    <w:name w:val="List Bullet"/>
    <w:basedOn w:val="Normal"/>
    <w:qFormat/>
    <w:rsid w:val="008F4578"/>
    <w:pPr>
      <w:numPr>
        <w:numId w:val="3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8F4578"/>
    <w:pPr>
      <w:numPr>
        <w:numId w:val="2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8F4578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8F4578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8F4578"/>
    <w:pPr>
      <w:tabs>
        <w:tab w:val="clear" w:pos="1361"/>
        <w:tab w:val="left" w:pos="1701"/>
      </w:tabs>
      <w:ind w:left="1701"/>
    </w:pPr>
  </w:style>
  <w:style w:type="paragraph" w:styleId="ListNumber">
    <w:name w:val="List Number"/>
    <w:basedOn w:val="List"/>
    <w:qFormat/>
    <w:rsid w:val="008F4578"/>
    <w:pPr>
      <w:numPr>
        <w:numId w:val="1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8F4578"/>
    <w:pPr>
      <w:numPr>
        <w:numId w:val="12"/>
      </w:numPr>
      <w:tabs>
        <w:tab w:val="left" w:pos="340"/>
      </w:tabs>
    </w:pPr>
  </w:style>
  <w:style w:type="paragraph" w:styleId="ListNumber3">
    <w:name w:val="List Number 3"/>
    <w:basedOn w:val="ListNumber2"/>
    <w:rsid w:val="008F4578"/>
    <w:pPr>
      <w:numPr>
        <w:numId w:val="13"/>
      </w:numPr>
    </w:pPr>
  </w:style>
  <w:style w:type="paragraph" w:styleId="ListNumber4">
    <w:name w:val="List Number 4"/>
    <w:basedOn w:val="ListNumber3"/>
    <w:rsid w:val="008F4578"/>
    <w:pPr>
      <w:numPr>
        <w:numId w:val="14"/>
      </w:numPr>
    </w:pPr>
  </w:style>
  <w:style w:type="paragraph" w:styleId="ListNumber5">
    <w:name w:val="List Number 5"/>
    <w:basedOn w:val="ListNumber4"/>
    <w:rsid w:val="008F4578"/>
    <w:pPr>
      <w:numPr>
        <w:numId w:val="15"/>
      </w:numPr>
    </w:pPr>
  </w:style>
  <w:style w:type="paragraph" w:styleId="CommentText">
    <w:name w:val="annotation text"/>
    <w:basedOn w:val="Normal"/>
    <w:semiHidden/>
    <w:rsid w:val="00757E47"/>
    <w:rPr>
      <w:lang w:val="de-DE"/>
    </w:rPr>
  </w:style>
  <w:style w:type="paragraph" w:styleId="Footer">
    <w:name w:val="footer"/>
    <w:basedOn w:val="Header"/>
    <w:uiPriority w:val="29"/>
    <w:semiHidden/>
    <w:rsid w:val="008F4578"/>
  </w:style>
  <w:style w:type="paragraph" w:styleId="Header">
    <w:name w:val="header"/>
    <w:basedOn w:val="Normal"/>
    <w:rsid w:val="008F4578"/>
    <w:pPr>
      <w:tabs>
        <w:tab w:val="center" w:pos="4536"/>
        <w:tab w:val="right" w:pos="9072"/>
      </w:tabs>
      <w:snapToGrid w:val="0"/>
    </w:pPr>
  </w:style>
  <w:style w:type="paragraph" w:styleId="BodyTextIndent">
    <w:name w:val="Body Text Indent"/>
    <w:basedOn w:val="Normal"/>
    <w:semiHidden/>
    <w:rsid w:val="00757E47"/>
    <w:pPr>
      <w:numPr>
        <w:ilvl w:val="12"/>
      </w:numPr>
      <w:ind w:left="284"/>
    </w:pPr>
    <w:rPr>
      <w:rFonts w:ascii="Helvetica" w:hAnsi="Helvetica"/>
      <w:sz w:val="19"/>
    </w:rPr>
  </w:style>
  <w:style w:type="paragraph" w:styleId="BodyTextIndent2">
    <w:name w:val="Body Text Indent 2"/>
    <w:basedOn w:val="Normal"/>
    <w:semiHidden/>
    <w:rsid w:val="00757E47"/>
    <w:pPr>
      <w:numPr>
        <w:ilvl w:val="12"/>
      </w:numPr>
      <w:ind w:left="426" w:hanging="426"/>
    </w:pPr>
    <w:rPr>
      <w:rFonts w:ascii="Helvetica" w:hAnsi="Helvetica"/>
      <w:sz w:val="19"/>
    </w:rPr>
  </w:style>
  <w:style w:type="paragraph" w:styleId="BodyText2">
    <w:name w:val="Body Text 2"/>
    <w:basedOn w:val="Normal"/>
    <w:semiHidden/>
    <w:rsid w:val="00757E47"/>
    <w:rPr>
      <w:rFonts w:ascii="Helvetica" w:hAnsi="Helvetica"/>
    </w:rPr>
  </w:style>
  <w:style w:type="paragraph" w:styleId="BodyTextIndent3">
    <w:name w:val="Body Text Indent 3"/>
    <w:basedOn w:val="Normal"/>
    <w:semiHidden/>
    <w:rsid w:val="00757E47"/>
    <w:pPr>
      <w:tabs>
        <w:tab w:val="left" w:pos="270"/>
      </w:tabs>
      <w:ind w:left="270" w:hanging="270"/>
    </w:pPr>
  </w:style>
  <w:style w:type="paragraph" w:styleId="BodyText">
    <w:name w:val="Body Text"/>
    <w:basedOn w:val="Normal"/>
    <w:semiHidden/>
    <w:rsid w:val="00757E47"/>
    <w:rPr>
      <w:snapToGrid w:val="0"/>
      <w:sz w:val="18"/>
      <w:lang w:eastAsia="en-US"/>
    </w:rPr>
  </w:style>
  <w:style w:type="paragraph" w:styleId="BodyText3">
    <w:name w:val="Body Text 3"/>
    <w:basedOn w:val="Normal"/>
    <w:semiHidden/>
    <w:rsid w:val="00757E47"/>
    <w:pPr>
      <w:jc w:val="center"/>
    </w:pPr>
    <w:rPr>
      <w:b/>
      <w:sz w:val="22"/>
    </w:rPr>
  </w:style>
  <w:style w:type="character" w:customStyle="1" w:styleId="Heading6Char">
    <w:name w:val="Heading 6 Char"/>
    <w:basedOn w:val="DefaultParagraphFont"/>
    <w:link w:val="Heading6"/>
    <w:rsid w:val="00C43E58"/>
    <w:rPr>
      <w:rFonts w:ascii="Arial" w:hAnsi="Arial" w:cs="Arial"/>
      <w:b/>
      <w:bCs/>
      <w:spacing w:val="8"/>
    </w:rPr>
  </w:style>
  <w:style w:type="character" w:customStyle="1" w:styleId="Heading7Char">
    <w:name w:val="Heading 7 Char"/>
    <w:basedOn w:val="DefaultParagraphFont"/>
    <w:link w:val="Heading7"/>
    <w:rsid w:val="00C43E58"/>
    <w:rPr>
      <w:rFonts w:ascii="Arial" w:hAnsi="Arial" w:cs="Arial"/>
      <w:b/>
      <w:bCs/>
      <w:spacing w:val="8"/>
    </w:rPr>
  </w:style>
  <w:style w:type="character" w:customStyle="1" w:styleId="Heading8Char">
    <w:name w:val="Heading 8 Char"/>
    <w:basedOn w:val="DefaultParagraphFont"/>
    <w:link w:val="Heading8"/>
    <w:rsid w:val="00C43E58"/>
    <w:rPr>
      <w:rFonts w:ascii="Arial" w:hAnsi="Arial" w:cs="Arial"/>
      <w:b/>
      <w:bCs/>
      <w:spacing w:val="8"/>
    </w:rPr>
  </w:style>
  <w:style w:type="character" w:customStyle="1" w:styleId="Heading9Char">
    <w:name w:val="Heading 9 Char"/>
    <w:basedOn w:val="DefaultParagraphFont"/>
    <w:link w:val="Heading9"/>
    <w:rsid w:val="00C43E58"/>
    <w:rPr>
      <w:rFonts w:ascii="Arial" w:hAnsi="Arial" w:cs="Arial"/>
      <w:b/>
      <w:bCs/>
      <w:spacing w:val="8"/>
    </w:rPr>
  </w:style>
  <w:style w:type="paragraph" w:customStyle="1" w:styleId="CODE-TableCell">
    <w:name w:val="CODE-TableCell"/>
    <w:basedOn w:val="CODE"/>
    <w:qFormat/>
    <w:rsid w:val="008F4578"/>
    <w:rPr>
      <w:sz w:val="16"/>
    </w:rPr>
  </w:style>
  <w:style w:type="paragraph" w:customStyle="1" w:styleId="PARAGRAPH">
    <w:name w:val="PARAGRAPH"/>
    <w:link w:val="PARAGRAPHChar"/>
    <w:qFormat/>
    <w:rsid w:val="008F4578"/>
    <w:pPr>
      <w:snapToGrid w:val="0"/>
      <w:spacing w:before="100" w:after="200"/>
      <w:jc w:val="both"/>
    </w:pPr>
    <w:rPr>
      <w:rFonts w:ascii="Arial" w:hAnsi="Arial" w:cs="Arial"/>
      <w:spacing w:val="8"/>
    </w:rPr>
  </w:style>
  <w:style w:type="paragraph" w:customStyle="1" w:styleId="FIGURE-title">
    <w:name w:val="FIGURE-title"/>
    <w:basedOn w:val="Normal"/>
    <w:next w:val="PARAGRAPH"/>
    <w:qFormat/>
    <w:rsid w:val="008F4578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semiHidden/>
    <w:rsid w:val="008F4578"/>
    <w:rPr>
      <w:sz w:val="16"/>
      <w:szCs w:val="16"/>
    </w:rPr>
  </w:style>
  <w:style w:type="paragraph" w:customStyle="1" w:styleId="NOTE">
    <w:name w:val="NOTE"/>
    <w:basedOn w:val="Normal"/>
    <w:next w:val="PARAGRAPH"/>
    <w:qFormat/>
    <w:rsid w:val="008F4578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8F4578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8F4578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8F4578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8F4578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43E58"/>
    <w:rPr>
      <w:rFonts w:ascii="Arial" w:hAnsi="Arial" w:cs="Arial"/>
      <w:spacing w:val="8"/>
      <w:sz w:val="16"/>
      <w:szCs w:val="16"/>
      <w:lang w:val="en-GB"/>
    </w:rPr>
  </w:style>
  <w:style w:type="character" w:styleId="FootnoteReference">
    <w:name w:val="footnote reference"/>
    <w:semiHidden/>
    <w:rsid w:val="008F4578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8F4578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8F4578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8F4578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8F4578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8F4578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8F4578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8F4578"/>
    <w:pPr>
      <w:tabs>
        <w:tab w:val="right" w:pos="9070"/>
      </w:tabs>
    </w:pPr>
  </w:style>
  <w:style w:type="paragraph" w:styleId="TOC8">
    <w:name w:val="toc 8"/>
    <w:basedOn w:val="TOC1"/>
    <w:semiHidden/>
    <w:rsid w:val="008F4578"/>
    <w:pPr>
      <w:ind w:left="720" w:hanging="720"/>
    </w:pPr>
  </w:style>
  <w:style w:type="paragraph" w:styleId="TOC9">
    <w:name w:val="toc 9"/>
    <w:basedOn w:val="TOC1"/>
    <w:semiHidden/>
    <w:rsid w:val="008F4578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8F4578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8F4578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8F4578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8F4578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8F4578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8F4578"/>
    <w:pPr>
      <w:pageBreakBefore/>
      <w:numPr>
        <w:numId w:val="10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8F4578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8F4578"/>
    <w:pPr>
      <w:numPr>
        <w:ilvl w:val="1"/>
        <w:numId w:val="10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8F4578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8F4578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8F4578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8F4578"/>
    <w:rPr>
      <w:rFonts w:ascii="Arial" w:hAnsi="Arial" w:cs="Arial"/>
      <w:spacing w:val="8"/>
      <w:sz w:val="16"/>
      <w:lang w:val="en-GB" w:eastAsia="zh-CN" w:bidi="ar-SA"/>
    </w:rPr>
  </w:style>
  <w:style w:type="character" w:styleId="EndnoteReference">
    <w:name w:val="endnote reference"/>
    <w:semiHidden/>
    <w:rsid w:val="008F4578"/>
    <w:rPr>
      <w:vertAlign w:val="superscript"/>
    </w:rPr>
  </w:style>
  <w:style w:type="paragraph" w:customStyle="1" w:styleId="TABFIGfootnote">
    <w:name w:val="TAB_FIG_footnote"/>
    <w:basedOn w:val="FootnoteText"/>
    <w:rsid w:val="008F4578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8F4578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8F4578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8F4578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8F4578"/>
    <w:pPr>
      <w:ind w:left="680"/>
    </w:pPr>
  </w:style>
  <w:style w:type="paragraph" w:styleId="ListContinue3">
    <w:name w:val="List Continue 3"/>
    <w:basedOn w:val="ListContinue2"/>
    <w:rsid w:val="008F4578"/>
    <w:pPr>
      <w:ind w:left="1021"/>
    </w:pPr>
  </w:style>
  <w:style w:type="paragraph" w:styleId="ListContinue4">
    <w:name w:val="List Continue 4"/>
    <w:basedOn w:val="ListContinue3"/>
    <w:rsid w:val="008F4578"/>
    <w:pPr>
      <w:ind w:left="1361"/>
    </w:pPr>
  </w:style>
  <w:style w:type="paragraph" w:styleId="ListContinue5">
    <w:name w:val="List Continue 5"/>
    <w:basedOn w:val="ListContinue4"/>
    <w:rsid w:val="008F4578"/>
    <w:pPr>
      <w:ind w:left="1701"/>
    </w:pPr>
  </w:style>
  <w:style w:type="paragraph" w:styleId="List5">
    <w:name w:val="List 5"/>
    <w:basedOn w:val="List4"/>
    <w:rsid w:val="008F4578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8F4578"/>
    <w:rPr>
      <w:rFonts w:ascii="Times New Roman" w:hAnsi="Times New Roman"/>
      <w:i/>
      <w:iCs/>
    </w:rPr>
  </w:style>
  <w:style w:type="character" w:styleId="FollowedHyperlink">
    <w:name w:val="FollowedHyperlink"/>
    <w:basedOn w:val="Hyperlink"/>
    <w:uiPriority w:val="99"/>
    <w:rsid w:val="008F4578"/>
    <w:rPr>
      <w:color w:val="0000FF"/>
      <w:u w:val="single"/>
    </w:rPr>
  </w:style>
  <w:style w:type="paragraph" w:customStyle="1" w:styleId="TABLE-centered">
    <w:name w:val="TABLE-centered"/>
    <w:basedOn w:val="TABLE-cell"/>
    <w:rsid w:val="008F4578"/>
    <w:pPr>
      <w:jc w:val="center"/>
    </w:pPr>
  </w:style>
  <w:style w:type="paragraph" w:styleId="TableofFigures">
    <w:name w:val="table of figures"/>
    <w:basedOn w:val="TOC1"/>
    <w:uiPriority w:val="99"/>
    <w:semiHidden/>
    <w:rsid w:val="008F4578"/>
    <w:pPr>
      <w:ind w:left="0" w:firstLine="0"/>
    </w:pPr>
  </w:style>
  <w:style w:type="paragraph" w:styleId="BlockText">
    <w:name w:val="Block Text"/>
    <w:basedOn w:val="Normal"/>
    <w:uiPriority w:val="59"/>
    <w:semiHidden/>
    <w:rsid w:val="008F4578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8F4578"/>
    <w:pPr>
      <w:outlineLvl w:val="9"/>
    </w:pPr>
  </w:style>
  <w:style w:type="paragraph" w:customStyle="1" w:styleId="AMD-Heading2">
    <w:name w:val="AMD-Heading2..."/>
    <w:basedOn w:val="Heading2"/>
    <w:next w:val="PARAGRAPH"/>
    <w:rsid w:val="008F4578"/>
    <w:pPr>
      <w:outlineLvl w:val="9"/>
    </w:pPr>
  </w:style>
  <w:style w:type="paragraph" w:customStyle="1" w:styleId="ANNEX-heading2">
    <w:name w:val="ANNEX-heading2"/>
    <w:basedOn w:val="Heading2"/>
    <w:next w:val="PARAGRAPH"/>
    <w:qFormat/>
    <w:rsid w:val="008F4578"/>
    <w:pPr>
      <w:numPr>
        <w:ilvl w:val="2"/>
        <w:numId w:val="10"/>
      </w:numPr>
      <w:outlineLvl w:val="2"/>
    </w:pPr>
  </w:style>
  <w:style w:type="paragraph" w:customStyle="1" w:styleId="ANNEX-heading3">
    <w:name w:val="ANNEX-heading3"/>
    <w:basedOn w:val="Heading3"/>
    <w:next w:val="PARAGRAPH"/>
    <w:rsid w:val="008F4578"/>
    <w:pPr>
      <w:numPr>
        <w:ilvl w:val="3"/>
        <w:numId w:val="10"/>
      </w:numPr>
      <w:outlineLvl w:val="3"/>
    </w:pPr>
  </w:style>
  <w:style w:type="paragraph" w:customStyle="1" w:styleId="ANNEX-heading4">
    <w:name w:val="ANNEX-heading4"/>
    <w:basedOn w:val="Heading4"/>
    <w:next w:val="PARAGRAPH"/>
    <w:rsid w:val="008F4578"/>
    <w:pPr>
      <w:numPr>
        <w:ilvl w:val="4"/>
        <w:numId w:val="10"/>
      </w:numPr>
      <w:outlineLvl w:val="4"/>
    </w:pPr>
  </w:style>
  <w:style w:type="paragraph" w:customStyle="1" w:styleId="ANNEX-heading5">
    <w:name w:val="ANNEX-heading5"/>
    <w:basedOn w:val="Heading5"/>
    <w:next w:val="PARAGRAPH"/>
    <w:rsid w:val="008F4578"/>
    <w:pPr>
      <w:numPr>
        <w:ilvl w:val="5"/>
        <w:numId w:val="10"/>
      </w:numPr>
      <w:outlineLvl w:val="5"/>
    </w:pPr>
  </w:style>
  <w:style w:type="character" w:customStyle="1" w:styleId="SUPerscript">
    <w:name w:val="SUPerscript"/>
    <w:rsid w:val="008F4578"/>
    <w:rPr>
      <w:kern w:val="0"/>
      <w:position w:val="6"/>
      <w:sz w:val="16"/>
      <w:szCs w:val="16"/>
    </w:rPr>
  </w:style>
  <w:style w:type="character" w:customStyle="1" w:styleId="SUBscript">
    <w:name w:val="SUBscript"/>
    <w:rsid w:val="008F4578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8F4578"/>
    <w:pPr>
      <w:numPr>
        <w:numId w:val="1"/>
      </w:numPr>
    </w:pPr>
  </w:style>
  <w:style w:type="paragraph" w:customStyle="1" w:styleId="TERM-number3">
    <w:name w:val="TERM-number 3"/>
    <w:basedOn w:val="Heading3"/>
    <w:next w:val="TERM"/>
    <w:rsid w:val="008F4578"/>
    <w:pPr>
      <w:spacing w:after="0"/>
      <w:ind w:left="0" w:firstLine="0"/>
      <w:outlineLvl w:val="9"/>
    </w:pPr>
  </w:style>
  <w:style w:type="character" w:customStyle="1" w:styleId="SMALLCAPS">
    <w:name w:val="SMALL CAPS"/>
    <w:rsid w:val="008F4578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8F457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8F4578"/>
    <w:pPr>
      <w:numPr>
        <w:numId w:val="4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8F457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8F4578"/>
    <w:pPr>
      <w:numPr>
        <w:numId w:val="6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8F4578"/>
    <w:pPr>
      <w:numPr>
        <w:numId w:val="5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8F4578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8F4578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8F4578"/>
    <w:rPr>
      <w:b w:val="0"/>
    </w:rPr>
  </w:style>
  <w:style w:type="paragraph" w:customStyle="1" w:styleId="TERM-note">
    <w:name w:val="TERM-note"/>
    <w:basedOn w:val="NOTE"/>
    <w:next w:val="TERM-number"/>
    <w:qFormat/>
    <w:rsid w:val="008F4578"/>
  </w:style>
  <w:style w:type="paragraph" w:customStyle="1" w:styleId="EXAMPLE">
    <w:name w:val="EXAMPLE"/>
    <w:basedOn w:val="NOTE"/>
    <w:next w:val="PARAGRAPH"/>
    <w:qFormat/>
    <w:rsid w:val="008F4578"/>
  </w:style>
  <w:style w:type="paragraph" w:customStyle="1" w:styleId="TERM-example">
    <w:name w:val="TERM-example"/>
    <w:basedOn w:val="EXAMPLE"/>
    <w:next w:val="TERM-number"/>
    <w:qFormat/>
    <w:rsid w:val="008F4578"/>
  </w:style>
  <w:style w:type="paragraph" w:customStyle="1" w:styleId="TERM-source">
    <w:name w:val="TERM-source"/>
    <w:basedOn w:val="Normal"/>
    <w:next w:val="TERM-number"/>
    <w:qFormat/>
    <w:rsid w:val="008F4578"/>
    <w:pPr>
      <w:snapToGrid w:val="0"/>
      <w:spacing w:before="100" w:after="200"/>
    </w:pPr>
  </w:style>
  <w:style w:type="character" w:styleId="Emphasis">
    <w:name w:val="Emphasis"/>
    <w:qFormat/>
    <w:rsid w:val="008F4578"/>
    <w:rPr>
      <w:i/>
      <w:iCs/>
    </w:rPr>
  </w:style>
  <w:style w:type="character" w:styleId="Strong">
    <w:name w:val="Strong"/>
    <w:qFormat/>
    <w:rsid w:val="008F4578"/>
    <w:rPr>
      <w:b/>
      <w:bCs/>
    </w:rPr>
  </w:style>
  <w:style w:type="paragraph" w:customStyle="1" w:styleId="TERM-number4">
    <w:name w:val="TERM-number 4"/>
    <w:basedOn w:val="Heading4"/>
    <w:next w:val="TERM"/>
    <w:qFormat/>
    <w:rsid w:val="008F4578"/>
    <w:pPr>
      <w:spacing w:after="0"/>
      <w:outlineLvl w:val="9"/>
    </w:pPr>
  </w:style>
  <w:style w:type="character" w:customStyle="1" w:styleId="SMALLCAPSemphasis">
    <w:name w:val="SMALL CAPS emphasis"/>
    <w:qFormat/>
    <w:rsid w:val="008F4578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8F4578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8F4578"/>
    <w:pPr>
      <w:numPr>
        <w:numId w:val="7"/>
      </w:numPr>
      <w:jc w:val="left"/>
    </w:pPr>
  </w:style>
  <w:style w:type="paragraph" w:customStyle="1" w:styleId="ListNumberalt">
    <w:name w:val="List Number alt"/>
    <w:basedOn w:val="Normal"/>
    <w:qFormat/>
    <w:rsid w:val="008F4578"/>
    <w:pPr>
      <w:numPr>
        <w:numId w:val="8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8F4578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8F4578"/>
    <w:pPr>
      <w:numPr>
        <w:ilvl w:val="2"/>
      </w:numPr>
    </w:pPr>
  </w:style>
  <w:style w:type="character" w:customStyle="1" w:styleId="SUBscript-small">
    <w:name w:val="SUBscript-small"/>
    <w:qFormat/>
    <w:rsid w:val="008F4578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8F4578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8F4578"/>
    <w:rPr>
      <w:b/>
      <w:bCs/>
      <w:i/>
      <w:iCs/>
      <w:color w:val="auto"/>
    </w:rPr>
  </w:style>
  <w:style w:type="paragraph" w:customStyle="1" w:styleId="CODE">
    <w:name w:val="CODE"/>
    <w:basedOn w:val="Normal"/>
    <w:rsid w:val="008F4578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8F4578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8F4578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8F4578"/>
    <w:pPr>
      <w:numPr>
        <w:numId w:val="9"/>
      </w:numPr>
    </w:pPr>
  </w:style>
  <w:style w:type="numbering" w:customStyle="1" w:styleId="Headings">
    <w:name w:val="Headings"/>
    <w:rsid w:val="008F4578"/>
    <w:pPr>
      <w:numPr>
        <w:numId w:val="11"/>
      </w:numPr>
    </w:pPr>
  </w:style>
  <w:style w:type="character" w:customStyle="1" w:styleId="PARAGRAPHChar">
    <w:name w:val="PARAGRAPH Char"/>
    <w:link w:val="PARAGRAPH"/>
    <w:rsid w:val="008F4578"/>
    <w:rPr>
      <w:rFonts w:ascii="Arial" w:hAnsi="Arial" w:cs="Arial"/>
      <w:spacing w:val="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4578"/>
  </w:style>
  <w:style w:type="paragraph" w:styleId="Caption">
    <w:name w:val="caption"/>
    <w:basedOn w:val="Normal"/>
    <w:next w:val="Normal"/>
    <w:uiPriority w:val="35"/>
    <w:qFormat/>
    <w:rsid w:val="008F4578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8F457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4578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457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457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457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457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457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457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457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457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457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4578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8F4578"/>
    <w:pPr>
      <w:ind w:left="567"/>
    </w:pPr>
  </w:style>
  <w:style w:type="paragraph" w:styleId="NoSpacing">
    <w:name w:val="No Spacing"/>
    <w:uiPriority w:val="1"/>
    <w:qFormat/>
    <w:rsid w:val="008F4578"/>
    <w:pPr>
      <w:jc w:val="both"/>
    </w:pPr>
    <w:rPr>
      <w:rFonts w:ascii="Arial" w:hAnsi="Arial" w:cs="Arial"/>
      <w:spacing w:val="8"/>
      <w:lang w:val="en-GB"/>
    </w:rPr>
  </w:style>
  <w:style w:type="paragraph" w:styleId="NormalWeb">
    <w:name w:val="Normal (Web)"/>
    <w:basedOn w:val="Normal"/>
    <w:uiPriority w:val="99"/>
    <w:semiHidden/>
    <w:unhideWhenUsed/>
    <w:rsid w:val="008F4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4578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4578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8F4578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8F4578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96"/>
    <w:rPr>
      <w:rFonts w:ascii="Tahoma" w:hAnsi="Tahoma" w:cs="Tahoma"/>
      <w:spacing w:val="8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agius@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%20template%20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IEC template iecstd.dot</Template>
  <TotalTime>4</TotalTime>
  <Pages>8</Pages>
  <Words>1551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Ex</vt:lpstr>
    </vt:vector>
  </TitlesOfParts>
  <Company>SA \ QAS</Company>
  <LinksUpToDate>false</LinksUpToDate>
  <CharactersWithSpaces>10855</CharactersWithSpaces>
  <SharedDoc>false</SharedDoc>
  <HLinks>
    <vt:vector size="6" baseType="variant">
      <vt:variant>
        <vt:i4>524300</vt:i4>
      </vt:variant>
      <vt:variant>
        <vt:i4>47072</vt:i4>
      </vt:variant>
      <vt:variant>
        <vt:i4>1028</vt:i4>
      </vt:variant>
      <vt:variant>
        <vt:i4>1</vt:i4>
      </vt:variant>
      <vt:variant>
        <vt:lpwstr>http://www.iecex.com/images/iecex_logo_home.gif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Ex</dc:title>
  <dc:creator>SA \ QAS</dc:creator>
  <cp:lastModifiedBy>Chris Agius</cp:lastModifiedBy>
  <cp:revision>4</cp:revision>
  <cp:lastPrinted>2003-05-14T02:12:00Z</cp:lastPrinted>
  <dcterms:created xsi:type="dcterms:W3CDTF">2015-07-21T04:02:00Z</dcterms:created>
  <dcterms:modified xsi:type="dcterms:W3CDTF">2015-07-21T07:39:00Z</dcterms:modified>
</cp:coreProperties>
</file>